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CAB Patch Decision Report</w:t>
      </w:r>
      <w:r>
        <w:rPr>
          <w:color w:val="5E6B76"/>
          <w:sz w:val="20"/>
          <w:szCs w:val="20"/>
        </w:rPr>
        <w:br/>
        <w:t xml:space="preserve">Change Advisory Board | CVE-2026-48172 | Pack PF-AZ8A-LOCAL-CVE-2026-48172</w:t>
      </w:r>
      <w:r>
        <w:rPr>
          <w:color w:val="17212B"/>
          <w:sz w:val="20"/>
          <w:szCs w:val="20"/>
        </w:rPr>
        <w:br/>
        <w:t xml:space="preserve">Generated 27/05/2026, 10:33:14. Governed posture: Urgent scope confirmation required - final remediation decision blocked pending evidence.. Readiness: Blocked.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What This Vulnerability Means</w:t>
      </w:r>
    </w:p>
    <w:p>
      <w:pPr>
        <w:spacing w:after="120"/>
      </w:pPr>
      <w:r>
        <w:t xml:space="preserve">A public-source vulnerability record indicates a privilege escalation condition affecting the LiteSpeed cPanel plugin. PatchForge treats this as a governed remediation decision until customer exposure and patch applicability are reviewed.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2</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(25)</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PF-AZ8A-LOCAL-CVE-2026-48172</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Local Qa Signer</w:t>
      </w:r>
    </w:p>
    <w:p>
      <w:pPr>
        <w:spacing w:after="70"/>
        <w:ind w:left="180"/>
      </w:pPr>
      <w:r>
        <w:rPr>
          <w:b/>
          <w:bCs/>
          <w:color w:val="1D3C5A"/>
          <w:sz w:val="20"/>
          <w:szCs w:val="20"/>
        </w:rPr>
        <w:t xml:space="preserve">Signature algorithm: </w:t>
      </w:r>
      <w:r>
        <w:rPr>
          <w:color w:val="17212B"/>
          <w:sz w:val="20"/>
          <w:szCs w:val="20"/>
        </w:rPr>
        <w:t xml:space="preserve">local-qa</w:t>
      </w:r>
    </w:p>
    <w:p>
      <w:pPr>
        <w:spacing w:after="70"/>
        <w:ind w:left="180"/>
      </w:pPr>
      <w:r>
        <w:rPr>
          <w:b/>
          <w:bCs/>
          <w:color w:val="1D3C5A"/>
          <w:sz w:val="20"/>
          <w:szCs w:val="20"/>
        </w:rPr>
        <w:t xml:space="preserve">Governance manifest SHA-256: </w:t>
      </w:r>
      <w:r>
        <w:rPr>
          <w:color w:val="17212B"/>
          <w:sz w:val="20"/>
          <w:szCs w:val="20"/>
        </w:rPr>
        <w:t xml:space="preserve">local-qa</w:t>
      </w:r>
    </w:p>
    <w:p>
      <w:pPr>
        <w:spacing w:after="70"/>
        <w:ind w:left="180"/>
      </w:pPr>
      <w:r>
        <w:rPr>
          <w:b/>
          <w:bCs/>
          <w:color w:val="1D3C5A"/>
          <w:sz w:val="20"/>
          <w:szCs w:val="20"/>
        </w:rPr>
        <w:t xml:space="preserve">Evidence references: </w:t>
      </w:r>
      <w:r>
        <w:rPr>
          <w:color w:val="17212B"/>
          <w:sz w:val="20"/>
          <w:szCs w:val="20"/>
        </w:rPr>
        <w:t xml:space="preserve">1</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Not recorded</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64%</w:t>
      </w:r>
    </w:p>
    <w:p>
      <w:pPr>
        <w:spacing w:after="70"/>
        <w:ind w:left="180"/>
      </w:pPr>
      <w:r>
        <w:rPr>
          <w:b/>
          <w:bCs/>
          <w:color w:val="1D3C5A"/>
          <w:sz w:val="20"/>
          <w:szCs w:val="20"/>
        </w:rPr>
        <w:t xml:space="preserve">Business impact posterior: </w:t>
      </w:r>
      <w:r>
        <w:rPr>
          <w:color w:val="17212B"/>
          <w:sz w:val="20"/>
          <w:szCs w:val="20"/>
        </w:rPr>
        <w:t xml:space="preserve">50%</w:t>
      </w:r>
    </w:p>
    <w:p>
      <w:pPr>
        <w:spacing w:after="70"/>
        <w:ind w:left="180"/>
      </w:pPr>
      <w:r>
        <w:rPr>
          <w:b/>
          <w:bCs/>
          <w:color w:val="1D3C5A"/>
          <w:sz w:val="20"/>
          <w:szCs w:val="20"/>
        </w:rPr>
        <w:t xml:space="preserve">Patch feasibility posterior: </w:t>
      </w:r>
      <w:r>
        <w:rPr>
          <w:color w:val="17212B"/>
          <w:sz w:val="20"/>
          <w:szCs w:val="20"/>
        </w:rPr>
        <w:t xml:space="preserve">25%</w:t>
      </w:r>
    </w:p>
    <w:p>
      <w:pPr>
        <w:spacing w:after="70"/>
        <w:ind w:left="180"/>
      </w:pPr>
      <w:r>
        <w:rPr>
          <w:b/>
          <w:bCs/>
          <w:color w:val="1D3C5A"/>
          <w:sz w:val="20"/>
          <w:szCs w:val="20"/>
        </w:rPr>
        <w:t xml:space="preserve">Change risk posterior: </w:t>
      </w:r>
      <w:r>
        <w:rPr>
          <w:color w:val="17212B"/>
          <w:sz w:val="20"/>
          <w:szCs w:val="20"/>
        </w:rPr>
        <w:t xml:space="preserve">42%</w:t>
      </w:r>
    </w:p>
    <w:p>
      <w:pPr>
        <w:spacing w:after="70"/>
        <w:ind w:left="180"/>
      </w:pPr>
      <w:r>
        <w:rPr>
          <w:b/>
          <w:bCs/>
          <w:color w:val="1D3C5A"/>
          <w:sz w:val="20"/>
          <w:szCs w:val="20"/>
        </w:rPr>
        <w:t xml:space="preserve">Deferral risk posterior: </w:t>
      </w:r>
      <w:r>
        <w:rPr>
          <w:color w:val="17212B"/>
          <w:sz w:val="20"/>
          <w:szCs w:val="20"/>
        </w:rPr>
        <w:t xml:space="preserve">78%</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w:t>
      </w:r>
    </w:p>
    <w:p>
      <w:pPr>
        <w:spacing w:after="70"/>
        <w:ind w:left="180"/>
      </w:pPr>
      <w:r>
        <w:rPr>
          <w:b/>
          <w:bCs/>
          <w:color w:val="1D3C5A"/>
          <w:sz w:val="20"/>
          <w:szCs w:val="20"/>
        </w:rPr>
        <w:t xml:space="preserve">Critical open advisories: </w:t>
      </w:r>
      <w:r>
        <w:rPr>
          <w:color w:val="17212B"/>
          <w:sz w:val="20"/>
          <w:szCs w:val="20"/>
        </w:rPr>
        <w:t xml:space="preserve">1</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Generate a signed decision pack after analysis review.</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signed_export.sigmeta.json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threat_landscape_snapshot.json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vendor_intelligence_snapshot.json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verification_manifest.json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vulnerability_intelligence_snapshot.json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 Patch Decision Report</dc:title>
  <dc:creator>DIIaC PatchForge</dc:creator>
  <dc:description>CAB Patch Decision Report for CVE-2026-48172</dc:description>
  <cp:lastModifiedBy>Un-named</cp:lastModifiedBy>
  <cp:revision>1</cp:revision>
  <dcterms:created xsi:type="dcterms:W3CDTF">2026-05-27T10:33:14.886Z</dcterms:created>
  <dcterms:modified xsi:type="dcterms:W3CDTF">2026-05-27T10:33:14.886Z</dcterms:modified>
</cp:coreProperties>
</file>

<file path=docProps/custom.xml><?xml version="1.0" encoding="utf-8"?>
<Properties xmlns="http://schemas.openxmlformats.org/officeDocument/2006/custom-properties" xmlns:vt="http://schemas.openxmlformats.org/officeDocument/2006/docPropsVTypes"/>
</file>