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b/>
          <w:bCs/>
          <w:color w:val="0F766E"/>
          <w:sz w:val="22"/>
          <w:szCs w:val="22"/>
        </w:rPr>
        <w:t xml:space="preserve">DIIaC PatchForge</w:t>
      </w:r>
      <w:r>
        <w:rPr>
          <w:color w:val="5E6B76"/>
          <w:sz w:val="22"/>
          <w:szCs w:val="22"/>
        </w:rPr>
        <w:t xml:space="preserve"> | Signed Patch Governance</w:t>
      </w:r>
    </w:p>
    <w:p>
      <w:pPr>
        <w:pBdr>
          <w:left w:val="single" w:color="0F766E" w:sz="16"/>
        </w:pBdr>
        <w:shd w:fill="E6EEF7" w:val="clear"/>
        <w:spacing w:after="200" w:before="80"/>
        <w:ind w:left="160"/>
      </w:pPr>
      <w:r>
        <w:rPr>
          <w:b/>
          <w:bCs/>
          <w:color w:val="1D3C5A"/>
          <w:sz w:val="32"/>
          <w:szCs w:val="32"/>
        </w:rPr>
        <w:br/>
        <w:t xml:space="preserve">Board Vulnerability Remediation Summary</w:t>
      </w:r>
      <w:r>
        <w:rPr>
          <w:color w:val="5E6B76"/>
          <w:sz w:val="20"/>
          <w:szCs w:val="20"/>
        </w:rPr>
        <w:br/>
        <w:t xml:space="preserve">Board and senior leadership | CVE-2026-923386 | Pack PF-20260528-9e896f66</w:t>
      </w:r>
      <w:r>
        <w:rPr>
          <w:color w:val="17212B"/>
          <w:sz w:val="20"/>
          <w:szCs w:val="20"/>
        </w:rPr>
        <w:br/>
        <w:t xml:space="preserve">Generated 28/05/2026, 17:02:30. Governed posture: Urgent scope confirmation required - final remediation decision blocked pending evidence.. Readiness: Blocked. Final approval not issued.</w:t>
      </w:r>
    </w:p>
    <w:p>
      <w:pPr>
        <w:pStyle w:val="Heading1"/>
      </w:pPr>
      <w:r>
        <w:t xml:space="preserve">Report Version Metadata</w:t>
      </w:r>
    </w:p>
    <w:p>
      <w:pPr>
        <w:spacing w:after="70"/>
        <w:ind w:left="180"/>
      </w:pPr>
      <w:r>
        <w:rPr>
          <w:b/>
          <w:bCs/>
          <w:color w:val="1D3C5A"/>
          <w:sz w:val="20"/>
          <w:szCs w:val="20"/>
        </w:rPr>
        <w:t xml:space="preserve">report_template_version: </w:t>
      </w:r>
      <w:r>
        <w:rPr>
          <w:color w:val="17212B"/>
          <w:sz w:val="20"/>
          <w:szCs w:val="20"/>
        </w:rPr>
        <w:t xml:space="preserve">patchforge-report-template.v2026-05-28.1</w:t>
      </w:r>
    </w:p>
    <w:p>
      <w:pPr>
        <w:spacing w:after="70"/>
        <w:ind w:left="180"/>
      </w:pPr>
      <w:r>
        <w:rPr>
          <w:b/>
          <w:bCs/>
          <w:color w:val="1D3C5A"/>
          <w:sz w:val="20"/>
          <w:szCs w:val="20"/>
        </w:rPr>
        <w:t xml:space="preserve">report_renderer_commit: </w:t>
      </w:r>
      <w:r>
        <w:rPr>
          <w:color w:val="17212B"/>
          <w:sz w:val="20"/>
          <w:szCs w:val="20"/>
        </w:rPr>
        <w:t xml:space="preserve">923b386</w:t>
      </w:r>
    </w:p>
    <w:p>
      <w:pPr>
        <w:spacing w:after="70"/>
        <w:ind w:left="180"/>
      </w:pPr>
      <w:r>
        <w:rPr>
          <w:b/>
          <w:bCs/>
          <w:color w:val="1D3C5A"/>
          <w:sz w:val="20"/>
          <w:szCs w:val="20"/>
        </w:rPr>
        <w:t xml:space="preserve">report_renderer_image_tag: </w:t>
      </w:r>
      <w:r>
        <w:rPr>
          <w:color w:val="17212B"/>
          <w:sz w:val="20"/>
          <w:szCs w:val="20"/>
        </w:rPr>
        <w:t xml:space="preserve">pfaz9a-20260528-923b386</w:t>
      </w:r>
    </w:p>
    <w:p>
      <w:pPr>
        <w:spacing w:after="70"/>
        <w:ind w:left="180"/>
      </w:pPr>
      <w:r>
        <w:rPr>
          <w:b/>
          <w:bCs/>
          <w:color w:val="1D3C5A"/>
          <w:sz w:val="20"/>
          <w:szCs w:val="20"/>
        </w:rPr>
        <w:t xml:space="preserve">generated_from_pack_id: </w:t>
      </w:r>
      <w:r>
        <w:rPr>
          <w:color w:val="17212B"/>
          <w:sz w:val="20"/>
          <w:szCs w:val="20"/>
        </w:rPr>
        <w:t xml:space="preserve">PF-20260528-9e896f66</w:t>
      </w:r>
    </w:p>
    <w:p>
      <w:pPr>
        <w:spacing w:after="70"/>
        <w:ind w:left="180"/>
      </w:pPr>
      <w:r>
        <w:rPr>
          <w:b/>
          <w:bCs/>
          <w:color w:val="1D3C5A"/>
          <w:sz w:val="20"/>
          <w:szCs w:val="20"/>
        </w:rPr>
        <w:t xml:space="preserve">generated_at_utc: </w:t>
      </w:r>
      <w:r>
        <w:rPr>
          <w:color w:val="17212B"/>
          <w:sz w:val="20"/>
          <w:szCs w:val="20"/>
        </w:rPr>
        <w:t xml:space="preserve">2026-05-28T17:02:30.444Z</w:t>
      </w:r>
    </w:p>
    <w:p>
      <w:pPr>
        <w:spacing w:after="70"/>
        <w:ind w:left="180"/>
      </w:pPr>
      <w:r>
        <w:rPr>
          <w:b/>
          <w:bCs/>
          <w:color w:val="1D3C5A"/>
          <w:sz w:val="20"/>
          <w:szCs w:val="20"/>
        </w:rPr>
        <w:t xml:space="preserve">product_baseline: </w:t>
      </w:r>
      <w:r>
        <w:rPr>
          <w:color w:val="17212B"/>
          <w:sz w:val="20"/>
          <w:szCs w:val="20"/>
        </w:rPr>
        <w:t xml:space="preserve">PF-AZ9A-VENDORLENS</w:t>
      </w:r>
    </w:p>
    <w:p>
      <w:pPr>
        <w:spacing w:after="70"/>
        <w:ind w:left="180"/>
      </w:pPr>
      <w:r>
        <w:rPr>
          <w:b/>
          <w:bCs/>
          <w:color w:val="1D3C5A"/>
          <w:sz w:val="20"/>
          <w:szCs w:val="20"/>
        </w:rPr>
        <w:t xml:space="preserve">report_context_version: </w:t>
      </w:r>
      <w:r>
        <w:rPr>
          <w:color w:val="17212B"/>
          <w:sz w:val="20"/>
          <w:szCs w:val="20"/>
        </w:rPr>
        <w:t xml:space="preserve">patchforge-report-context.v2</w:t>
      </w:r>
    </w:p>
    <w:p>
      <w:pPr>
        <w:spacing w:after="70"/>
        <w:ind w:left="180"/>
      </w:pPr>
      <w:r>
        <w:rPr>
          <w:b/>
          <w:bCs/>
          <w:color w:val="1D3C5A"/>
          <w:sz w:val="20"/>
          <w:szCs w:val="20"/>
        </w:rPr>
        <w:t xml:space="preserve">source_pack_id: </w:t>
      </w:r>
      <w:r>
        <w:rPr>
          <w:color w:val="17212B"/>
          <w:sz w:val="20"/>
          <w:szCs w:val="20"/>
        </w:rPr>
        <w:t xml:space="preserve">PF-20260528-9e896f66</w:t>
      </w:r>
    </w:p>
    <w:p>
      <w:pPr>
        <w:spacing w:after="70"/>
        <w:ind w:left="180"/>
      </w:pPr>
      <w:r>
        <w:rPr>
          <w:b/>
          <w:bCs/>
          <w:color w:val="1D3C5A"/>
          <w:sz w:val="20"/>
          <w:szCs w:val="20"/>
        </w:rPr>
        <w:t xml:space="preserve">report_type: </w:t>
      </w:r>
      <w:r>
        <w:rPr>
          <w:color w:val="17212B"/>
          <w:sz w:val="20"/>
          <w:szCs w:val="20"/>
        </w:rPr>
        <w:t xml:space="preserve">board_vulnerability_remediation_summary</w:t>
      </w:r>
    </w:p>
    <w:p>
      <w:pPr>
        <w:spacing w:after="70"/>
        <w:ind w:left="180"/>
      </w:pPr>
      <w:r>
        <w:rPr>
          <w:b/>
          <w:bCs/>
          <w:color w:val="1D3C5A"/>
          <w:sz w:val="20"/>
          <w:szCs w:val="20"/>
        </w:rPr>
        <w:t xml:space="preserve">report_audience: </w:t>
      </w:r>
      <w:r>
        <w:rPr>
          <w:color w:val="17212B"/>
          <w:sz w:val="20"/>
          <w:szCs w:val="20"/>
        </w:rPr>
        <w:t xml:space="preserve">Board and senior leadership</w:t>
      </w:r>
    </w:p>
    <w:p>
      <w:pPr>
        <w:spacing w:after="70"/>
        <w:ind w:left="180"/>
      </w:pPr>
      <w:r>
        <w:rPr>
          <w:b/>
          <w:bCs/>
          <w:color w:val="1D3C5A"/>
          <w:sz w:val="20"/>
          <w:szCs w:val="20"/>
        </w:rPr>
        <w:t xml:space="preserve">final_approval_issued: </w:t>
      </w:r>
      <w:r>
        <w:rPr>
          <w:color w:val="17212B"/>
          <w:sz w:val="20"/>
          <w:szCs w:val="20"/>
        </w:rPr>
        <w:t xml:space="preserve">false</w:t>
      </w:r>
    </w:p>
    <w:p>
      <w:pPr>
        <w:spacing w:after="70"/>
        <w:ind w:left="180"/>
      </w:pPr>
      <w:r>
        <w:rPr>
          <w:b/>
          <w:bCs/>
          <w:color w:val="1D3C5A"/>
          <w:sz w:val="20"/>
          <w:szCs w:val="20"/>
        </w:rPr>
        <w:t xml:space="preserve">signing_provider: </w:t>
      </w:r>
      <w:r>
        <w:rPr>
          <w:color w:val="17212B"/>
          <w:sz w:val="20"/>
          <w:szCs w:val="20"/>
        </w:rPr>
        <w:t xml:space="preserve">Azure Key Vault</w:t>
      </w:r>
    </w:p>
    <w:p>
      <w:pPr>
        <w:spacing w:after="70"/>
        <w:ind w:left="180"/>
      </w:pPr>
      <w:r>
        <w:rPr>
          <w:b/>
          <w:bCs/>
          <w:color w:val="1D3C5A"/>
          <w:sz w:val="20"/>
          <w:szCs w:val="20"/>
        </w:rPr>
        <w:t xml:space="preserve">verification_state: </w:t>
      </w:r>
      <w:r>
        <w:rPr>
          <w:color w:val="17212B"/>
          <w:sz w:val="20"/>
          <w:szCs w:val="20"/>
        </w:rPr>
        <w:t xml:space="preserve">verified</w:t>
      </w:r>
    </w:p>
    <w:p>
      <w:pPr>
        <w:pStyle w:val="Heading1"/>
      </w:pPr>
      <w:r>
        <w:t xml:space="preserve">Executive Decision Summary</w:t>
      </w:r>
    </w:p>
    <w:p>
      <w:pPr>
        <w:spacing w:after="120"/>
      </w:pPr>
      <w:r>
        <w:t xml:space="preserve">CVE-2026-923386: Urgent scope confirmation required - final remediation decision blocked pending evidence. PatchForge has public-source vulnerability intelligence, but customer asset and service exposure are not yet confirmed. 4 evidence gap(s) remain, and final approval has not been issued.</w:t>
      </w:r>
    </w:p>
    <w:p>
      <w:pPr>
        <w:spacing w:after="120"/>
      </w:pPr>
      <w:r>
        <w:t xml:space="preserve">Final approval not issued.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tblGrid>
      <w:tr>
        <w:trPr>
          <w:tblHeader w:val="false"/>
        </w:trPr>
        <w:tc>
          <w:tcPr>
            <w:tcW w:type="dxa" w:w="2800"/>
            <w:shd w:fill="EEF3F7" w:val="clear"/>
            <w:tcMar>
              <w:top w:type="dxa" w:w="100"/>
              <w:left w:type="dxa" w:w="120"/>
              <w:bottom w:type="dxa" w:w="100"/>
              <w:right w:type="dxa" w:w="120"/>
            </w:tcMar>
            <w:vAlign w:val="center"/>
          </w:tcPr>
          <w:p>
            <w:pPr>
              <w:spacing w:after="0" w:before="0"/>
              <w:jc w:val="left"/>
            </w:pPr>
            <w:r>
              <w:rPr>
                <w:b/>
                <w:bCs/>
                <w:color w:val="17212B"/>
                <w:sz w:val="19"/>
                <w:szCs w:val="19"/>
              </w:rPr>
              <w:t xml:space="preserve">Recommended posture</w:t>
            </w:r>
          </w:p>
        </w:tc>
        <w:tc>
          <w:tcPr>
            <w:tcW w:type="dxa" w:w="656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Urgent scope confirmation required - final remediation decision blocked pending evidence.</w:t>
            </w:r>
          </w:p>
        </w:tc>
      </w:tr>
      <w:tr>
        <w:trPr>
          <w:tblHeader w:val="false"/>
        </w:trPr>
        <w:tc>
          <w:tcPr>
            <w:tcW w:type="dxa" w:w="2800"/>
            <w:shd w:fill="FFFFFF" w:val="clear"/>
            <w:tcMar>
              <w:top w:type="dxa" w:w="100"/>
              <w:left w:type="dxa" w:w="120"/>
              <w:bottom w:type="dxa" w:w="100"/>
              <w:right w:type="dxa" w:w="120"/>
            </w:tcMar>
            <w:vAlign w:val="center"/>
          </w:tcPr>
          <w:p>
            <w:pPr>
              <w:spacing w:after="0" w:before="0"/>
              <w:jc w:val="left"/>
            </w:pPr>
            <w:r>
              <w:rPr>
                <w:b/>
                <w:bCs/>
                <w:color w:val="17212B"/>
                <w:sz w:val="19"/>
                <w:szCs w:val="19"/>
              </w:rPr>
              <w:t xml:space="preserve">Next best action</w:t>
            </w:r>
          </w:p>
        </w:tc>
        <w:tc>
          <w:tcPr>
            <w:tcW w:type="dxa" w:w="656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Confirm customer exposure and patch applicability before selecting emergency change, patch, mitigation, or risk acceptance.</w:t>
            </w:r>
          </w:p>
        </w:tc>
      </w:tr>
      <w:tr>
        <w:trPr>
          <w:tblHeader w:val="false"/>
        </w:trPr>
        <w:tc>
          <w:tcPr>
            <w:tcW w:type="dxa" w:w="2800"/>
            <w:shd w:fill="EEF3F7" w:val="clear"/>
            <w:tcMar>
              <w:top w:type="dxa" w:w="100"/>
              <w:left w:type="dxa" w:w="120"/>
              <w:bottom w:type="dxa" w:w="100"/>
              <w:right w:type="dxa" w:w="120"/>
            </w:tcMar>
            <w:vAlign w:val="center"/>
          </w:tcPr>
          <w:p>
            <w:pPr>
              <w:spacing w:after="0" w:before="0"/>
              <w:jc w:val="left"/>
            </w:pPr>
            <w:r>
              <w:rPr>
                <w:b/>
                <w:bCs/>
                <w:color w:val="17212B"/>
                <w:sz w:val="19"/>
                <w:szCs w:val="19"/>
              </w:rPr>
              <w:t xml:space="preserve">Confidence</w:t>
            </w:r>
          </w:p>
        </w:tc>
        <w:tc>
          <w:tcPr>
            <w:tcW w:type="dxa" w:w="656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Medium</w:t>
            </w:r>
          </w:p>
        </w:tc>
      </w:tr>
      <w:tr>
        <w:trPr>
          <w:tblHeader w:val="false"/>
        </w:trPr>
        <w:tc>
          <w:tcPr>
            <w:tcW w:type="dxa" w:w="2800"/>
            <w:shd w:fill="FFFFFF" w:val="clear"/>
            <w:tcMar>
              <w:top w:type="dxa" w:w="100"/>
              <w:left w:type="dxa" w:w="120"/>
              <w:bottom w:type="dxa" w:w="100"/>
              <w:right w:type="dxa" w:w="120"/>
            </w:tcMar>
            <w:vAlign w:val="center"/>
          </w:tcPr>
          <w:p>
            <w:pPr>
              <w:spacing w:after="0" w:before="0"/>
              <w:jc w:val="left"/>
            </w:pPr>
            <w:r>
              <w:rPr>
                <w:b/>
                <w:bCs/>
                <w:color w:val="17212B"/>
                <w:sz w:val="19"/>
                <w:szCs w:val="19"/>
              </w:rPr>
              <w:t xml:space="preserve">Human approval</w:t>
            </w:r>
          </w:p>
        </w:tc>
        <w:tc>
          <w:tcPr>
            <w:tcW w:type="dxa" w:w="656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Still required</w:t>
            </w:r>
          </w:p>
        </w:tc>
      </w:tr>
      <w:tr>
        <w:trPr>
          <w:tblHeader w:val="false"/>
        </w:trPr>
        <w:tc>
          <w:tcPr>
            <w:tcW w:type="dxa" w:w="2800"/>
            <w:shd w:fill="EEF3F7" w:val="clear"/>
            <w:tcMar>
              <w:top w:type="dxa" w:w="100"/>
              <w:left w:type="dxa" w:w="120"/>
              <w:bottom w:type="dxa" w:w="100"/>
              <w:right w:type="dxa" w:w="120"/>
            </w:tcMar>
            <w:vAlign w:val="center"/>
          </w:tcPr>
          <w:p>
            <w:pPr>
              <w:spacing w:after="0" w:before="0"/>
              <w:jc w:val="left"/>
            </w:pPr>
            <w:r>
              <w:rPr>
                <w:b/>
                <w:bCs/>
                <w:color w:val="17212B"/>
                <w:sz w:val="19"/>
                <w:szCs w:val="19"/>
              </w:rPr>
              <w:t xml:space="preserve">Decision boundary</w:t>
            </w:r>
          </w:p>
        </w:tc>
        <w:tc>
          <w:tcPr>
            <w:tcW w:type="dxa" w:w="656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Automated evidence preparation is complete where stated; approval, risk acceptance, patch deployment, and closure remain human-controlled</w:t>
            </w:r>
          </w:p>
        </w:tc>
      </w:tr>
    </w:tbl>
    <w:p>
      <w:pPr>
        <w:pStyle w:val="Heading1"/>
      </w:pPr>
      <w:r>
        <w:t xml:space="preserve">Current Governed Posture</w:t>
      </w:r>
    </w:p>
    <w:p>
      <w:pPr>
        <w:spacing w:after="120"/>
      </w:pPr>
      <w:r>
        <w:t xml:space="preserve">Urgent scope confirmation required - final remediation decision blocked pending evidence.. Final approval not issued. Human approval remains required. PatchForge does not approve CAB decisions, risk acceptance, patch deployment, or closure autonomously.</w:t>
      </w:r>
    </w:p>
    <w:p>
      <w:pPr>
        <w:pStyle w:val="Heading1"/>
      </w:pPr>
      <w:r>
        <w:t xml:space="preserve">Business / Service Impact</w:t>
      </w:r>
    </w:p>
    <w:p>
      <w:pPr>
        <w:spacing w:after="120"/>
      </w:pPr>
      <w:r>
        <w:t xml:space="preserve">PatchForge has public-source vulnerability intelligence, but customer asset and service exposure are not yet confirmed. This gap matters because severity alone does not tell the CAB what could break, who owns it, or whether customer-facing operations are affected.</w:t>
      </w:r>
    </w:p>
    <w:p>
      <w:pPr>
        <w:pStyle w:val="Heading1"/>
      </w:pPr>
      <w:r>
        <w:t xml:space="preserve">Source Intelligence Summary</w:t>
      </w:r>
    </w:p>
    <w:p>
      <w:pPr>
        <w:spacing w:after="120"/>
      </w:pPr>
      <w:r>
        <w:t xml:space="preserve">Threat metrics are source-bound public-intelligence signals and do not close hard gates.</w:t>
      </w:r>
    </w:p>
    <w:p>
      <w:pPr>
        <w:pStyle w:val="Heading1"/>
      </w:pPr>
      <w:r>
        <w:t xml:space="preserve">VendorLens Applicability Summary</w:t>
      </w:r>
    </w:p>
    <w:p>
      <w:pPr>
        <w:spacing w:after="120"/>
      </w:pPr>
      <w:r>
        <w:t xml:space="preserve">Applicability is Requires Review with urgency Urgent Scope Confirmation Required.</w:t>
      </w:r>
    </w:p>
    <w:p>
      <w:pPr>
        <w:pStyle w:val="Heading1"/>
      </w:pPr>
      <w:r>
        <w:t xml:space="preserve">Key Evidence Gaps</w:t>
      </w:r>
    </w:p>
    <w:p>
      <w:pPr>
        <w:spacing w:after="60" w:before="120"/>
      </w:pPr>
      <w:r>
        <w:rPr>
          <w:b/>
          <w:bCs/>
          <w:color w:val="1D3C5A"/>
          <w:sz w:val="22"/>
          <w:szCs w:val="22"/>
        </w:rPr>
        <w:t xml:space="preserve">Reviewed Vulnerability Identity Evidence</w:t>
      </w:r>
    </w:p>
    <w:p>
      <w:pPr>
        <w:spacing w:after="70"/>
        <w:ind w:left="220"/>
      </w:pPr>
      <w:r>
        <w:rPr>
          <w:b/>
          <w:bCs/>
          <w:color w:val="1D3C5A"/>
          <w:sz w:val="20"/>
          <w:szCs w:val="20"/>
        </w:rPr>
        <w:t xml:space="preserve">Plain English gap: </w:t>
      </w:r>
      <w:r>
        <w:rPr>
          <w:color w:val="17212B"/>
          <w:sz w:val="20"/>
          <w:szCs w:val="20"/>
        </w:rPr>
        <w:t xml:space="preserve">The finding identity has not yet been accepted by a named reviewer.</w:t>
      </w:r>
    </w:p>
    <w:p>
      <w:pPr>
        <w:spacing w:after="70"/>
        <w:ind w:left="220"/>
      </w:pPr>
      <w:r>
        <w:rPr>
          <w:b/>
          <w:bCs/>
          <w:color w:val="1D3C5A"/>
          <w:sz w:val="20"/>
          <w:szCs w:val="20"/>
        </w:rPr>
        <w:t xml:space="preserve">Why it matters: </w:t>
      </w:r>
      <w:r>
        <w:rPr>
          <w:color w:val="17212B"/>
          <w:sz w:val="20"/>
          <w:szCs w:val="20"/>
        </w:rPr>
        <w:t xml:space="preserve">CAB and customer assurance need confidence that the CVE, affected product, affected versions, and source provenance are correct before remediation decisions are presented as evidence-led.</w:t>
      </w:r>
    </w:p>
    <w:p>
      <w:pPr>
        <w:spacing w:after="70"/>
        <w:ind w:left="220"/>
      </w:pPr>
      <w:r>
        <w:rPr>
          <w:b/>
          <w:bCs/>
          <w:color w:val="1D3C5A"/>
          <w:sz w:val="20"/>
          <w:szCs w:val="20"/>
        </w:rPr>
        <w:t xml:space="preserve">Required evidence: </w:t>
      </w:r>
      <w:r>
        <w:rPr>
          <w:color w:val="17212B"/>
          <w:sz w:val="20"/>
          <w:szCs w:val="20"/>
        </w:rPr>
        <w:t xml:space="preserve">Reviewed CISA/CVE/vendor advisory record confirming CVE, product, affected versions, and source provenance.</w:t>
      </w:r>
    </w:p>
    <w:p>
      <w:pPr>
        <w:spacing w:after="70"/>
        <w:ind w:left="220"/>
      </w:pPr>
      <w:r>
        <w:rPr>
          <w:b/>
          <w:bCs/>
          <w:color w:val="1D3C5A"/>
          <w:sz w:val="20"/>
          <w:szCs w:val="20"/>
        </w:rPr>
        <w:t xml:space="preserve">Evidence examples: </w:t>
      </w:r>
      <w:r>
        <w:rPr>
          <w:color w:val="17212B"/>
          <w:sz w:val="20"/>
          <w:szCs w:val="20"/>
        </w:rPr>
        <w:t xml:space="preserve">CISA KEV record, NVD/CVE record, vendor advisory, source review event</w:t>
      </w:r>
    </w:p>
    <w:p>
      <w:pPr>
        <w:spacing w:after="70"/>
        <w:ind w:left="220"/>
      </w:pPr>
      <w:r>
        <w:rPr>
          <w:b/>
          <w:bCs/>
          <w:color w:val="1D3C5A"/>
          <w:sz w:val="20"/>
          <w:szCs w:val="20"/>
        </w:rPr>
        <w:t xml:space="preserve">Suggested owner: </w:t>
      </w:r>
      <w:r>
        <w:rPr>
          <w:color w:val="17212B"/>
          <w:sz w:val="20"/>
          <w:szCs w:val="20"/>
        </w:rPr>
        <w:t xml:space="preserve">Security lead or vulnerability manager</w:t>
      </w:r>
    </w:p>
    <w:p>
      <w:pPr>
        <w:spacing w:after="70"/>
        <w:ind w:left="220"/>
      </w:pPr>
      <w:r>
        <w:rPr>
          <w:b/>
          <w:bCs/>
          <w:color w:val="1D3C5A"/>
          <w:sz w:val="20"/>
          <w:szCs w:val="20"/>
        </w:rPr>
        <w:t xml:space="preserve">Next decision gate: </w:t>
      </w:r>
      <w:r>
        <w:rPr>
          <w:color w:val="17212B"/>
          <w:sz w:val="20"/>
          <w:szCs w:val="20"/>
        </w:rPr>
        <w:t xml:space="preserve">Source identity review</w:t>
      </w:r>
    </w:p>
    <w:p>
      <w:pPr>
        <w:spacing w:after="60" w:before="120"/>
      </w:pPr>
      <w:r>
        <w:rPr>
          <w:b/>
          <w:bCs/>
          <w:color w:val="1D3C5A"/>
          <w:sz w:val="22"/>
          <w:szCs w:val="22"/>
        </w:rPr>
        <w:t xml:space="preserve">Affected Asset Scope</w:t>
      </w:r>
    </w:p>
    <w:p>
      <w:pPr>
        <w:spacing w:after="70"/>
        <w:ind w:left="220"/>
      </w:pPr>
      <w:r>
        <w:rPr>
          <w:b/>
          <w:bCs/>
          <w:color w:val="1D3C5A"/>
          <w:sz w:val="20"/>
          <w:szCs w:val="20"/>
        </w:rPr>
        <w:t xml:space="preserve">Plain English gap: </w:t>
      </w:r>
      <w:r>
        <w:rPr>
          <w:color w:val="17212B"/>
          <w:sz w:val="20"/>
          <w:szCs w:val="20"/>
        </w:rPr>
        <w:t xml:space="preserve">Customer asset exposure is not confirmed.</w:t>
      </w:r>
    </w:p>
    <w:p>
      <w:pPr>
        <w:spacing w:after="70"/>
        <w:ind w:left="220"/>
      </w:pPr>
      <w:r>
        <w:rPr>
          <w:b/>
          <w:bCs/>
          <w:color w:val="1D3C5A"/>
          <w:sz w:val="20"/>
          <w:szCs w:val="20"/>
        </w:rPr>
        <w:t xml:space="preserve">Why it matters: </w:t>
      </w:r>
      <w:r>
        <w:rPr>
          <w:color w:val="17212B"/>
          <w:sz w:val="20"/>
          <w:szCs w:val="20"/>
        </w:rPr>
        <w:t xml:space="preserve">Without asset scope, the organisation cannot tell whether the public-source finding affects the customer estate or what operational risk a change would introduce.</w:t>
      </w:r>
    </w:p>
    <w:p>
      <w:pPr>
        <w:spacing w:after="70"/>
        <w:ind w:left="220"/>
      </w:pPr>
      <w:r>
        <w:rPr>
          <w:b/>
          <w:bCs/>
          <w:color w:val="1D3C5A"/>
          <w:sz w:val="20"/>
          <w:szCs w:val="20"/>
        </w:rPr>
        <w:t xml:space="preserve">Required evidence: </w:t>
      </w:r>
      <w:r>
        <w:rPr>
          <w:color w:val="17212B"/>
          <w:sz w:val="20"/>
          <w:szCs w:val="20"/>
        </w:rPr>
        <w:t xml:space="preserve">CMDB, hosting control panel inventory, scanner output, asset owner confirmation.</w:t>
      </w:r>
    </w:p>
    <w:p>
      <w:pPr>
        <w:spacing w:after="70"/>
        <w:ind w:left="220"/>
      </w:pPr>
      <w:r>
        <w:rPr>
          <w:b/>
          <w:bCs/>
          <w:color w:val="1D3C5A"/>
          <w:sz w:val="20"/>
          <w:szCs w:val="20"/>
        </w:rPr>
        <w:t xml:space="preserve">Evidence examples: </w:t>
      </w:r>
      <w:r>
        <w:rPr>
          <w:color w:val="17212B"/>
          <w:sz w:val="20"/>
          <w:szCs w:val="20"/>
        </w:rPr>
        <w:t xml:space="preserve">CMDB asset record, hosting control panel inventory, scanner output, asset owner confirmation</w:t>
      </w:r>
    </w:p>
    <w:p>
      <w:pPr>
        <w:spacing w:after="70"/>
        <w:ind w:left="220"/>
      </w:pPr>
      <w:r>
        <w:rPr>
          <w:b/>
          <w:bCs/>
          <w:color w:val="1D3C5A"/>
          <w:sz w:val="20"/>
          <w:szCs w:val="20"/>
        </w:rPr>
        <w:t xml:space="preserve">Suggested owner: </w:t>
      </w:r>
      <w:r>
        <w:rPr>
          <w:color w:val="17212B"/>
          <w:sz w:val="20"/>
          <w:szCs w:val="20"/>
        </w:rPr>
        <w:t xml:space="preserve">Asset owner or infrastructure lead</w:t>
      </w:r>
    </w:p>
    <w:p>
      <w:pPr>
        <w:spacing w:after="70"/>
        <w:ind w:left="220"/>
      </w:pPr>
      <w:r>
        <w:rPr>
          <w:b/>
          <w:bCs/>
          <w:color w:val="1D3C5A"/>
          <w:sz w:val="20"/>
          <w:szCs w:val="20"/>
        </w:rPr>
        <w:t xml:space="preserve">Next decision gate: </w:t>
      </w:r>
      <w:r>
        <w:rPr>
          <w:color w:val="17212B"/>
          <w:sz w:val="20"/>
          <w:szCs w:val="20"/>
        </w:rPr>
        <w:t xml:space="preserve">Asset exposure confirmation</w:t>
      </w:r>
    </w:p>
    <w:p>
      <w:pPr>
        <w:spacing w:after="60" w:before="120"/>
      </w:pPr>
      <w:r>
        <w:rPr>
          <w:b/>
          <w:bCs/>
          <w:color w:val="1D3C5A"/>
          <w:sz w:val="22"/>
          <w:szCs w:val="22"/>
        </w:rPr>
        <w:t xml:space="preserve">Business Service Impact</w:t>
      </w:r>
    </w:p>
    <w:p>
      <w:pPr>
        <w:spacing w:after="70"/>
        <w:ind w:left="220"/>
      </w:pPr>
      <w:r>
        <w:rPr>
          <w:b/>
          <w:bCs/>
          <w:color w:val="1D3C5A"/>
          <w:sz w:val="20"/>
          <w:szCs w:val="20"/>
        </w:rPr>
        <w:t xml:space="preserve">Plain English gap: </w:t>
      </w:r>
      <w:r>
        <w:rPr>
          <w:color w:val="17212B"/>
          <w:sz w:val="20"/>
          <w:szCs w:val="20"/>
        </w:rPr>
        <w:t xml:space="preserve">Business service and customer impact are not confirmed.</w:t>
      </w:r>
    </w:p>
    <w:p>
      <w:pPr>
        <w:spacing w:after="70"/>
        <w:ind w:left="220"/>
      </w:pPr>
      <w:r>
        <w:rPr>
          <w:b/>
          <w:bCs/>
          <w:color w:val="1D3C5A"/>
          <w:sz w:val="20"/>
          <w:szCs w:val="20"/>
        </w:rPr>
        <w:t xml:space="preserve">Why it matters: </w:t>
      </w:r>
      <w:r>
        <w:rPr>
          <w:color w:val="17212B"/>
          <w:sz w:val="20"/>
          <w:szCs w:val="20"/>
        </w:rPr>
        <w:t xml:space="preserve">Severity alone does not tell the CAB which service, customer journey, SLA, or owner is affected.</w:t>
      </w:r>
    </w:p>
    <w:p>
      <w:pPr>
        <w:spacing w:after="70"/>
        <w:ind w:left="220"/>
      </w:pPr>
      <w:r>
        <w:rPr>
          <w:b/>
          <w:bCs/>
          <w:color w:val="1D3C5A"/>
          <w:sz w:val="20"/>
          <w:szCs w:val="20"/>
        </w:rPr>
        <w:t xml:space="preserve">Required evidence: </w:t>
      </w:r>
      <w:r>
        <w:rPr>
          <w:color w:val="17212B"/>
          <w:sz w:val="20"/>
          <w:szCs w:val="20"/>
        </w:rPr>
        <w:t xml:space="preserve">Service map, customer-facing flag, SLA/OLA impact, service owner.</w:t>
      </w:r>
    </w:p>
    <w:p>
      <w:pPr>
        <w:pStyle w:val="Heading1"/>
      </w:pPr>
      <w:r>
        <w:t xml:space="preserve">Required Human Actions</w:t>
      </w:r>
    </w:p>
    <w:p>
      <w:pPr>
        <w:pStyle w:val="ListParagraph"/>
        <w:numPr>
          <w:ilvl w:val="0"/>
          <w:numId w:val="1"/>
        </w:numPr>
        <w:spacing w:after="80"/>
      </w:pPr>
      <w:r>
        <w:rPr>
          <w:color w:val="17212B"/>
          <w:sz w:val="20"/>
          <w:szCs w:val="20"/>
        </w:rPr>
        <w:t xml:space="preserve">Confirm customer exposure and patch applicability before selecting emergency change, patch, mitigation, or risk acceptance.</w:t>
      </w:r>
    </w:p>
    <w:p>
      <w:pPr>
        <w:pStyle w:val="Heading1"/>
      </w:pPr>
      <w:r>
        <w:t xml:space="preserve">Residual Risk and Governance Position</w:t>
      </w:r>
    </w:p>
    <w:p>
      <w:pPr>
        <w:spacing w:after="120"/>
      </w:pPr>
      <w:r>
        <w:t xml:space="preserve">Residual risk remains governed, evidence-bound, and subject to human approval. PatchForge does not issue autonomous CAB, closure, or risk acceptance decisions.</w:t>
      </w:r>
    </w:p>
    <w:p>
      <w:pPr>
        <w:pStyle w:val="Heading1"/>
      </w:pPr>
      <w:r>
        <w:t xml:space="preserve">Signed Pack and Trust Evidence</w:t>
      </w:r>
    </w:p>
    <w:p>
      <w:pPr>
        <w:spacing w:after="70"/>
        <w:ind w:left="180"/>
      </w:pPr>
      <w:r>
        <w:rPr>
          <w:b/>
          <w:bCs/>
          <w:color w:val="1D3C5A"/>
          <w:sz w:val="20"/>
          <w:szCs w:val="20"/>
        </w:rPr>
        <w:t xml:space="preserve">Signed pack: </w:t>
      </w:r>
      <w:r>
        <w:rPr>
          <w:color w:val="17212B"/>
          <w:sz w:val="20"/>
          <w:szCs w:val="20"/>
        </w:rPr>
        <w:t xml:space="preserve">PF-20260528-9e896f66</w:t>
      </w:r>
    </w:p>
    <w:p>
      <w:pPr>
        <w:spacing w:after="70"/>
        <w:ind w:left="180"/>
      </w:pPr>
      <w:r>
        <w:rPr>
          <w:b/>
          <w:bCs/>
          <w:color w:val="1D3C5A"/>
          <w:sz w:val="20"/>
          <w:szCs w:val="20"/>
        </w:rPr>
        <w:t xml:space="preserve">Signing provider: </w:t>
      </w:r>
      <w:r>
        <w:rPr>
          <w:color w:val="17212B"/>
          <w:sz w:val="20"/>
          <w:szCs w:val="20"/>
        </w:rPr>
        <w:t xml:space="preserve">Azure Key Vault</w:t>
      </w:r>
    </w:p>
    <w:p>
      <w:pPr>
        <w:spacing w:after="70"/>
        <w:ind w:left="180"/>
      </w:pPr>
      <w:r>
        <w:rPr>
          <w:b/>
          <w:bCs/>
          <w:color w:val="1D3C5A"/>
          <w:sz w:val="20"/>
          <w:szCs w:val="20"/>
        </w:rPr>
        <w:t xml:space="preserve">Verification state: </w:t>
      </w:r>
      <w:r>
        <w:rPr>
          <w:color w:val="17212B"/>
          <w:sz w:val="20"/>
          <w:szCs w:val="20"/>
        </w:rPr>
        <w:t xml:space="preserve">verified</w:t>
      </w:r>
    </w:p>
    <w:p>
      <w:pPr>
        <w:pStyle w:val="Heading1"/>
      </w:pPr>
      <w:r>
        <w:t xml:space="preserve">What This Vulnerability Means</w:t>
      </w:r>
    </w:p>
    <w:p>
      <w:pPr>
        <w:spacing w:after="120"/>
      </w:pPr>
      <w:r>
        <w:t xml:space="preserve">Temporary source-bound validation finding used to prove current PF-AZ9A report stamping and VendorLens workflow. Customer exposure and configuration evidence are pending review, and final approval is not issued. PatchForge treats this as a governance decision until source evidence, affected scope, and human approval are complete.</w:t>
      </w:r>
    </w:p>
    <w:p>
      <w:pPr>
        <w:pStyle w:val="Heading2"/>
      </w:pPr>
      <w:r>
        <w:t xml:space="preserve">Why It Matters Now</w:t>
      </w:r>
    </w:p>
    <w:p>
      <w:pPr>
        <w:spacing w:after="120"/>
      </w:pPr>
      <w:r>
        <w:t xml:space="preserve">It is flagged as known exploited in source-bound intelligence. The finding is marked internet exposed.</w:t>
      </w:r>
    </w:p>
    <w:p>
      <w:pPr>
        <w:pStyle w:val="Heading1"/>
      </w:pPr>
      <w:r>
        <w:t xml:space="preserve">Affected Products, Services, and Assets</w:t>
      </w:r>
    </w:p>
    <w:p>
      <w:pPr>
        <w:spacing w:after="120"/>
      </w:pPr>
      <w:r>
        <w:t xml:space="preserve">PatchForge has public-source vulnerability intelligence, but customer asset and service exposure are not yet confirmed. This gap matters because severity alone does not tell the CAB what could break, who owns it, or whether customer-facing operations are affected.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gridCol w:w="100"/>
      </w:tblGrid>
      <w:tr>
        <w:trPr>
          <w:tblHeader/>
        </w:trPr>
        <w:tc>
          <w:tcPr>
            <w:tcW w:type="dxa" w:w="1500"/>
            <w:shd w:fill="1D3C5A" w:val="clear"/>
            <w:tcMar>
              <w:top w:type="dxa" w:w="100"/>
              <w:left w:type="dxa" w:w="120"/>
              <w:bottom w:type="dxa" w:w="100"/>
              <w:right w:type="dxa" w:w="120"/>
            </w:tcMar>
            <w:vAlign w:val="center"/>
          </w:tcPr>
          <w:p>
            <w:pPr>
              <w:spacing w:after="0" w:before="0"/>
              <w:jc w:val="left"/>
            </w:pPr>
            <w:r>
              <w:rPr>
                <w:b/>
                <w:bCs/>
                <w:color w:val="FFFFFF"/>
                <w:sz w:val="19"/>
                <w:szCs w:val="19"/>
              </w:rPr>
              <w:t xml:space="preserve">Scope</w:t>
            </w:r>
          </w:p>
        </w:tc>
        <w:tc>
          <w:tcPr>
            <w:tcW w:type="dxa" w:w="306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Record</w:t>
            </w:r>
          </w:p>
        </w:tc>
        <w:tc>
          <w:tcPr>
            <w:tcW w:type="dxa" w:w="480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Operational meaning</w:t>
            </w:r>
          </w:p>
        </w:tc>
      </w:tr>
      <w:tr>
        <w:trPr>
          <w:tblHeader w:val="false"/>
        </w:trPr>
        <w:tc>
          <w:tcPr>
            <w:tcW w:type="dxa" w:w="15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Unmapped</w:t>
            </w:r>
          </w:p>
        </w:tc>
        <w:tc>
          <w:tcPr>
            <w:tcW w:type="dxa" w:w="30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No reviewed asset/service scope</w:t>
            </w:r>
          </w:p>
        </w:tc>
        <w:tc>
          <w:tcPr>
            <w:tcW w:type="dxa" w:w="480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This is a decision blocker because the organisation cannot safely judge impact or completion.</w:t>
            </w:r>
          </w:p>
        </w:tc>
      </w:tr>
    </w:tbl>
    <w:p>
      <w:pPr>
        <w:pStyle w:val="Heading1"/>
      </w:pPr>
      <w:r>
        <w:t xml:space="preserve">Exploitability Intelligence</w:t>
      </w:r>
    </w:p>
    <w:p>
      <w:pPr>
        <w:pBdr>
          <w:left w:val="single" w:color="B7791F" w:sz="16"/>
        </w:pBdr>
        <w:shd w:fill="FFF6E4" w:val="clear"/>
        <w:spacing w:after="180" w:before="80"/>
        <w:ind w:left="160"/>
      </w:pPr>
      <w:r>
        <w:rPr>
          <w:b/>
          <w:bCs/>
          <w:color w:val="17212B"/>
        </w:rPr>
        <w:t xml:space="preserve">Exploit code, exploit payloads, and procedural exploitation steps are intentionally not provided.</w:t>
      </w:r>
    </w:p>
    <w:p>
      <w:pPr>
        <w:spacing w:after="120"/>
      </w:pPr>
      <w:r>
        <w:t xml:space="preserve">Source-bound intelligence indicates this vulnerability is known to be exploited in the wild. CISA KEV indicates the vulnerability appears in a known exploited vulnerability source feed. EPSS provides a probability-style signal and may be lower. PatchForge treats these as prioritisation signals, not proof of tenant exposure. Customer exposure must be confirmed through asset and service evidence. The safe governance question is whether exposure, service impact, patch feasibility, and compensating controls justify patch, mitigation, deferral, or risk acceptance.</w:t>
      </w:r>
    </w:p>
    <w:p>
      <w:pPr>
        <w:spacing w:after="120"/>
      </w:pPr>
      <w:r>
        <w:t xml:space="preserve">CISA KEV indicates the vulnerability appears in a known exploited vulnerability source feed. EPSS provides a probability-style signal and may be lower. PatchForge treats these as prioritisation signals, not proof of tenant exposure. Customer exposure must be confirmed through asset and service evidence.</w:t>
      </w:r>
    </w:p>
    <w:p>
      <w:pPr>
        <w:spacing w:after="70"/>
        <w:ind w:left="180"/>
      </w:pPr>
      <w:r>
        <w:rPr>
          <w:b/>
          <w:bCs/>
          <w:color w:val="1D3C5A"/>
          <w:sz w:val="20"/>
          <w:szCs w:val="20"/>
        </w:rPr>
        <w:t xml:space="preserve">Known exploited signal: </w:t>
      </w:r>
      <w:r>
        <w:rPr>
          <w:color w:val="17212B"/>
          <w:sz w:val="20"/>
          <w:szCs w:val="20"/>
        </w:rPr>
        <w:t xml:space="preserve">Yes, source-bound pending review unless accepted</w:t>
      </w:r>
    </w:p>
    <w:p>
      <w:pPr>
        <w:spacing w:after="70"/>
        <w:ind w:left="180"/>
      </w:pPr>
      <w:r>
        <w:rPr>
          <w:b/>
          <w:bCs/>
          <w:color w:val="1D3C5A"/>
          <w:sz w:val="20"/>
          <w:szCs w:val="20"/>
        </w:rPr>
        <w:t xml:space="preserve">EPSS score: </w:t>
      </w:r>
      <w:r>
        <w:rPr>
          <w:color w:val="17212B"/>
          <w:sz w:val="20"/>
          <w:szCs w:val="20"/>
        </w:rPr>
        <w:t xml:space="preserve">0%</w:t>
      </w:r>
    </w:p>
    <w:p>
      <w:pPr>
        <w:spacing w:after="70"/>
        <w:ind w:left="180"/>
      </w:pPr>
      <w:r>
        <w:rPr>
          <w:b/>
          <w:bCs/>
          <w:color w:val="1D3C5A"/>
          <w:sz w:val="20"/>
          <w:szCs w:val="20"/>
        </w:rPr>
        <w:t xml:space="preserve">EPSS percentile: </w:t>
      </w:r>
      <w:r>
        <w:rPr>
          <w:color w:val="17212B"/>
          <w:sz w:val="20"/>
          <w:szCs w:val="20"/>
        </w:rPr>
        <w:t xml:space="preserve">0%</w:t>
      </w:r>
    </w:p>
    <w:p>
      <w:pPr>
        <w:spacing w:after="70"/>
        <w:ind w:left="180"/>
      </w:pPr>
      <w:r>
        <w:rPr>
          <w:b/>
          <w:bCs/>
          <w:color w:val="1D3C5A"/>
          <w:sz w:val="20"/>
          <w:szCs w:val="20"/>
        </w:rPr>
        <w:t xml:space="preserve">Ransomware campaign use: </w:t>
      </w:r>
      <w:r>
        <w:rPr>
          <w:color w:val="17212B"/>
          <w:sz w:val="20"/>
          <w:szCs w:val="20"/>
        </w:rPr>
        <w:t xml:space="preserve">Unknown</w:t>
      </w:r>
    </w:p>
    <w:p>
      <w:pPr>
        <w:spacing w:after="70"/>
        <w:ind w:left="180"/>
      </w:pPr>
      <w:r>
        <w:rPr>
          <w:b/>
          <w:bCs/>
          <w:color w:val="1D3C5A"/>
          <w:sz w:val="20"/>
          <w:szCs w:val="20"/>
        </w:rPr>
        <w:t xml:space="preserve">Can close gates alone: </w:t>
      </w:r>
      <w:r>
        <w:rPr>
          <w:color w:val="17212B"/>
          <w:sz w:val="20"/>
          <w:szCs w:val="20"/>
        </w:rPr>
        <w:t xml:space="preserve">No</w:t>
      </w:r>
    </w:p>
    <w:p>
      <w:pPr>
        <w:pStyle w:val="Heading1"/>
      </w:pPr>
      <w:r>
        <w:t xml:space="preserve">Recommended Governance Posture</w:t>
      </w:r>
    </w:p>
    <w:p>
      <w:pPr>
        <w:spacing w:after="120"/>
      </w:pPr>
      <w:r>
        <w:t xml:space="preserve">Defer Pending Evidence is the current advisory posture. A known-exploited public-source signal is present, but reviewed customer asset and service exposure are not confirmed. This remains a governed decision: PatchForge can prepare the evidence and report, but a human approver must issue the decision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gridCol w:w="100"/>
      </w:tblGrid>
      <w:tr>
        <w:trPr>
          <w:tblHeader/>
        </w:trPr>
        <w:tc>
          <w:tcPr>
            <w:tcW w:type="dxa" w:w="1300"/>
            <w:shd w:fill="1D3C5A" w:val="clear"/>
            <w:tcMar>
              <w:top w:type="dxa" w:w="100"/>
              <w:left w:type="dxa" w:w="120"/>
              <w:bottom w:type="dxa" w:w="100"/>
              <w:right w:type="dxa" w:w="120"/>
            </w:tcMar>
            <w:vAlign w:val="center"/>
          </w:tcPr>
          <w:p>
            <w:pPr>
              <w:spacing w:after="0" w:before="0"/>
              <w:jc w:val="left"/>
            </w:pPr>
            <w:r>
              <w:rPr>
                <w:b/>
                <w:bCs/>
                <w:color w:val="FFFFFF"/>
                <w:sz w:val="19"/>
                <w:szCs w:val="19"/>
              </w:rPr>
              <w:t xml:space="preserve">Timing</w:t>
            </w:r>
          </w:p>
        </w:tc>
        <w:tc>
          <w:tcPr>
            <w:tcW w:type="dxa" w:w="536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Action</w:t>
            </w:r>
          </w:p>
        </w:tc>
        <w:tc>
          <w:tcPr>
            <w:tcW w:type="dxa" w:w="270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Owner / gate</w:t>
            </w:r>
          </w:p>
        </w:tc>
      </w:tr>
      <w:tr>
        <w:trPr>
          <w:tblHeader w:val="false"/>
        </w:trPr>
        <w:tc>
          <w:tcPr>
            <w:tcW w:type="dxa" w:w="13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Now</w:t>
            </w:r>
          </w:p>
        </w:tc>
        <w:tc>
          <w:tcPr>
            <w:tcW w:type="dxa" w:w="53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Confirm customer exposure and patch applicability before selecting emergency change, patch, mitigation, or risk acceptance.</w:t>
            </w:r>
          </w:p>
        </w:tc>
        <w:tc>
          <w:tcPr>
            <w:tcW w:type="dxa" w:w="270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Security lead / CAB reviewer</w:t>
            </w:r>
          </w:p>
        </w:tc>
      </w:tr>
      <w:tr>
        <w:trPr>
          <w:tblHeader w:val="false"/>
        </w:trPr>
        <w:tc>
          <w:tcPr>
            <w:tcW w:type="dxa" w:w="13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Next</w:t>
            </w:r>
          </w:p>
        </w:tc>
        <w:tc>
          <w:tcPr>
            <w:tcW w:type="dxa" w:w="53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Attach affected asset scope evidence.</w:t>
            </w:r>
          </w:p>
        </w:tc>
        <w:tc>
          <w:tcPr>
            <w:tcW w:type="dxa" w:w="270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Service owner / evidence owner</w:t>
            </w:r>
          </w:p>
        </w:tc>
      </w:tr>
      <w:tr>
        <w:trPr>
          <w:tblHeader w:val="false"/>
        </w:trPr>
        <w:tc>
          <w:tcPr>
            <w:tcW w:type="dxa" w:w="13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Next</w:t>
            </w:r>
          </w:p>
        </w:tc>
        <w:tc>
          <w:tcPr>
            <w:tcW w:type="dxa" w:w="53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Attach business service impact evidence.</w:t>
            </w:r>
          </w:p>
        </w:tc>
        <w:tc>
          <w:tcPr>
            <w:tcW w:type="dxa" w:w="270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Service owner / evidence owner</w:t>
            </w:r>
          </w:p>
        </w:tc>
      </w:tr>
    </w:tbl>
    <w:p>
      <w:pPr>
        <w:pStyle w:val="Heading1"/>
      </w:pPr>
      <w:r>
        <w:t xml:space="preserve">Decision Options Matrix</w:t>
      </w:r>
    </w:p>
    <w:p>
      <w:pPr>
        <w:spacing w:after="60" w:before="120"/>
      </w:pPr>
      <w:r>
        <w:rPr>
          <w:b/>
          <w:bCs/>
          <w:color w:val="1D3C5A"/>
          <w:sz w:val="22"/>
          <w:szCs w:val="22"/>
        </w:rPr>
        <w:t xml:space="preserve">Recommended: Urgent Scope Confirmation Required</w:t>
      </w:r>
    </w:p>
    <w:p>
      <w:pPr>
        <w:spacing w:after="70"/>
        <w:ind w:left="220"/>
      </w:pPr>
      <w:r>
        <w:rPr>
          <w:b/>
          <w:bCs/>
          <w:color w:val="1D3C5A"/>
          <w:sz w:val="20"/>
          <w:szCs w:val="20"/>
        </w:rPr>
        <w:t xml:space="preserve">Current status: </w:t>
      </w:r>
      <w:r>
        <w:rPr>
          <w:color w:val="17212B"/>
          <w:sz w:val="20"/>
          <w:szCs w:val="20"/>
        </w:rPr>
        <w:t xml:space="preserve">Recommended Now</w:t>
      </w:r>
    </w:p>
    <w:p>
      <w:pPr>
        <w:spacing w:after="70"/>
        <w:ind w:left="220"/>
      </w:pPr>
      <w:r>
        <w:rPr>
          <w:b/>
          <w:bCs/>
          <w:color w:val="1D3C5A"/>
          <w:sz w:val="20"/>
          <w:szCs w:val="20"/>
        </w:rPr>
        <w:t xml:space="preserve">Reason: </w:t>
      </w:r>
      <w:r>
        <w:rPr>
          <w:color w:val="17212B"/>
          <w:sz w:val="20"/>
          <w:szCs w:val="20"/>
        </w:rPr>
        <w:t xml:space="preserve">Known-exploited public intelligence exists, but customer asset and service exposure are not confirmed.</w:t>
      </w:r>
    </w:p>
    <w:p>
      <w:pPr>
        <w:spacing w:after="70"/>
        <w:ind w:left="220"/>
      </w:pPr>
      <w:r>
        <w:rPr>
          <w:b/>
          <w:bCs/>
          <w:color w:val="1D3C5A"/>
          <w:sz w:val="20"/>
          <w:szCs w:val="20"/>
        </w:rPr>
        <w:t xml:space="preserve">Required evidence: </w:t>
      </w:r>
      <w:r>
        <w:rPr>
          <w:color w:val="17212B"/>
          <w:sz w:val="20"/>
          <w:szCs w:val="20"/>
        </w:rPr>
        <w:t xml:space="preserve">Reviewed asset scope, Reviewed service impact, Source identity review</w:t>
      </w:r>
    </w:p>
    <w:p>
      <w:pPr>
        <w:spacing w:after="70"/>
        <w:ind w:left="220"/>
      </w:pPr>
      <w:r>
        <w:rPr>
          <w:b/>
          <w:bCs/>
          <w:color w:val="1D3C5A"/>
          <w:sz w:val="20"/>
          <w:szCs w:val="20"/>
        </w:rPr>
        <w:t xml:space="preserve">Required approval: </w:t>
      </w:r>
      <w:r>
        <w:rPr>
          <w:color w:val="17212B"/>
          <w:sz w:val="20"/>
          <w:szCs w:val="20"/>
        </w:rPr>
        <w:t xml:space="preserve">Security lead or service owner confirms the affected scope.</w:t>
      </w:r>
    </w:p>
    <w:p>
      <w:pPr>
        <w:spacing w:after="60" w:before="120"/>
      </w:pPr>
      <w:r>
        <w:rPr>
          <w:b/>
          <w:bCs/>
          <w:color w:val="1D3C5A"/>
          <w:sz w:val="22"/>
          <w:szCs w:val="22"/>
        </w:rPr>
        <w:t xml:space="preserve">Emergency Change Required</w:t>
      </w:r>
    </w:p>
    <w:p>
      <w:pPr>
        <w:spacing w:after="70"/>
        <w:ind w:left="220"/>
      </w:pPr>
      <w:r>
        <w:rPr>
          <w:b/>
          <w:bCs/>
          <w:color w:val="1D3C5A"/>
          <w:sz w:val="20"/>
          <w:szCs w:val="20"/>
        </w:rPr>
        <w:t xml:space="preserve">Current status: </w:t>
      </w:r>
      <w:r>
        <w:rPr>
          <w:color w:val="17212B"/>
          <w:sz w:val="20"/>
          <w:szCs w:val="20"/>
        </w:rPr>
        <w:t xml:space="preserve">Blocked</w:t>
      </w:r>
    </w:p>
    <w:p>
      <w:pPr>
        <w:spacing w:after="70"/>
        <w:ind w:left="220"/>
      </w:pPr>
      <w:r>
        <w:rPr>
          <w:b/>
          <w:bCs/>
          <w:color w:val="1D3C5A"/>
          <w:sz w:val="20"/>
          <w:szCs w:val="20"/>
        </w:rPr>
        <w:t xml:space="preserve">Reason: </w:t>
      </w:r>
      <w:r>
        <w:rPr>
          <w:color w:val="17212B"/>
          <w:sz w:val="20"/>
          <w:szCs w:val="20"/>
        </w:rPr>
        <w:t xml:space="preserve">Emergency Change Required is blocked pending asset/service exposure and patch applicability.</w:t>
      </w:r>
    </w:p>
    <w:p>
      <w:pPr>
        <w:spacing w:after="70"/>
        <w:ind w:left="220"/>
      </w:pPr>
      <w:r>
        <w:rPr>
          <w:b/>
          <w:bCs/>
          <w:color w:val="1D3C5A"/>
          <w:sz w:val="20"/>
          <w:szCs w:val="20"/>
        </w:rPr>
        <w:t xml:space="preserve">Required evidence: </w:t>
      </w:r>
      <w:r>
        <w:rPr>
          <w:color w:val="17212B"/>
          <w:sz w:val="20"/>
          <w:szCs w:val="20"/>
        </w:rPr>
        <w:t xml:space="preserve">Reviewed affected scope, Patch applicability, Rollback plan, Customer/service impact, Human approval</w:t>
      </w:r>
    </w:p>
    <w:p>
      <w:pPr>
        <w:spacing w:after="70"/>
        <w:ind w:left="220"/>
      </w:pPr>
      <w:r>
        <w:rPr>
          <w:b/>
          <w:bCs/>
          <w:color w:val="1D3C5A"/>
          <w:sz w:val="20"/>
          <w:szCs w:val="20"/>
        </w:rPr>
        <w:t xml:space="preserve">Required approval: </w:t>
      </w:r>
      <w:r>
        <w:rPr>
          <w:color w:val="17212B"/>
          <w:sz w:val="20"/>
          <w:szCs w:val="20"/>
        </w:rPr>
        <w:t xml:space="preserve">CAB/security lead emergency approval.</w:t>
      </w:r>
    </w:p>
    <w:p>
      <w:pPr>
        <w:spacing w:after="60" w:before="120"/>
      </w:pPr>
      <w:r>
        <w:rPr>
          <w:b/>
          <w:bCs/>
          <w:color w:val="1D3C5A"/>
          <w:sz w:val="22"/>
          <w:szCs w:val="22"/>
        </w:rPr>
        <w:t xml:space="preserve">Patch Required</w:t>
      </w:r>
    </w:p>
    <w:p>
      <w:pPr>
        <w:spacing w:after="70"/>
        <w:ind w:left="220"/>
      </w:pPr>
      <w:r>
        <w:rPr>
          <w:b/>
          <w:bCs/>
          <w:color w:val="1D3C5A"/>
          <w:sz w:val="20"/>
          <w:szCs w:val="20"/>
        </w:rPr>
        <w:t xml:space="preserve">Current status: </w:t>
      </w:r>
      <w:r>
        <w:rPr>
          <w:color w:val="17212B"/>
          <w:sz w:val="20"/>
          <w:szCs w:val="20"/>
        </w:rPr>
        <w:t xml:space="preserve">Blocked</w:t>
      </w:r>
    </w:p>
    <w:p>
      <w:pPr>
        <w:spacing w:after="70"/>
        <w:ind w:left="220"/>
      </w:pPr>
      <w:r>
        <w:rPr>
          <w:b/>
          <w:bCs/>
          <w:color w:val="1D3C5A"/>
          <w:sz w:val="20"/>
          <w:szCs w:val="20"/>
        </w:rPr>
        <w:t xml:space="preserve">Reason: </w:t>
      </w:r>
      <w:r>
        <w:rPr>
          <w:color w:val="17212B"/>
          <w:sz w:val="20"/>
          <w:szCs w:val="20"/>
        </w:rPr>
        <w:t xml:space="preserve">Patch Required is blocked pending patch availability, feasibility, and reviewed exposure scope.</w:t>
      </w:r>
    </w:p>
    <w:p>
      <w:pPr>
        <w:spacing w:after="70"/>
        <w:ind w:left="220"/>
      </w:pPr>
      <w:r>
        <w:rPr>
          <w:b/>
          <w:bCs/>
          <w:color w:val="1D3C5A"/>
          <w:sz w:val="20"/>
          <w:szCs w:val="20"/>
        </w:rPr>
        <w:t xml:space="preserve">Required evidence: </w:t>
      </w:r>
      <w:r>
        <w:rPr>
          <w:color w:val="17212B"/>
          <w:sz w:val="20"/>
          <w:szCs w:val="20"/>
        </w:rPr>
        <w:t xml:space="preserve">Vendor patch note, Affected version mapping, Test evidence, Rollback plan, Service owner review</w:t>
      </w:r>
    </w:p>
    <w:p>
      <w:pPr>
        <w:spacing w:after="70"/>
        <w:ind w:left="220"/>
      </w:pPr>
      <w:r>
        <w:rPr>
          <w:b/>
          <w:bCs/>
          <w:color w:val="1D3C5A"/>
          <w:sz w:val="20"/>
          <w:szCs w:val="20"/>
        </w:rPr>
        <w:t xml:space="preserve">Required approval: </w:t>
      </w:r>
      <w:r>
        <w:rPr>
          <w:color w:val="17212B"/>
          <w:sz w:val="20"/>
          <w:szCs w:val="20"/>
        </w:rPr>
        <w:t xml:space="preserve">Change owner, service owner, and CAB/security approval.</w:t>
      </w:r>
    </w:p>
    <w:p>
      <w:pPr>
        <w:spacing w:after="60" w:before="120"/>
      </w:pPr>
      <w:r>
        <w:rPr>
          <w:b/>
          <w:bCs/>
          <w:color w:val="1D3C5A"/>
          <w:sz w:val="22"/>
          <w:szCs w:val="22"/>
        </w:rPr>
        <w:t xml:space="preserve">Mitigate Temporarily</w:t>
      </w:r>
    </w:p>
    <w:p>
      <w:pPr>
        <w:spacing w:after="70"/>
        <w:ind w:left="220"/>
      </w:pPr>
      <w:r>
        <w:rPr>
          <w:b/>
          <w:bCs/>
          <w:color w:val="1D3C5A"/>
          <w:sz w:val="20"/>
          <w:szCs w:val="20"/>
        </w:rPr>
        <w:t xml:space="preserve">Current status: </w:t>
      </w:r>
      <w:r>
        <w:rPr>
          <w:color w:val="17212B"/>
          <w:sz w:val="20"/>
          <w:szCs w:val="20"/>
        </w:rPr>
        <w:t xml:space="preserve">Blocked</w:t>
      </w:r>
    </w:p>
    <w:p>
      <w:pPr>
        <w:spacing w:after="70"/>
        <w:ind w:left="220"/>
      </w:pPr>
      <w:r>
        <w:rPr>
          <w:b/>
          <w:bCs/>
          <w:color w:val="1D3C5A"/>
          <w:sz w:val="20"/>
          <w:szCs w:val="20"/>
        </w:rPr>
        <w:t xml:space="preserve">Reason: </w:t>
      </w:r>
      <w:r>
        <w:rPr>
          <w:color w:val="17212B"/>
          <w:sz w:val="20"/>
          <w:szCs w:val="20"/>
        </w:rPr>
        <w:t xml:space="preserve">Mitigate Temporarily is available only if compensating-control evidence is attached and reviewed.</w:t>
      </w:r>
    </w:p>
    <w:p>
      <w:pPr>
        <w:spacing w:after="70"/>
        <w:ind w:left="220"/>
      </w:pPr>
      <w:r>
        <w:rPr>
          <w:b/>
          <w:bCs/>
          <w:color w:val="1D3C5A"/>
          <w:sz w:val="20"/>
          <w:szCs w:val="20"/>
        </w:rPr>
        <w:t xml:space="preserve">Required evidence: </w:t>
      </w:r>
      <w:r>
        <w:rPr>
          <w:color w:val="17212B"/>
          <w:sz w:val="20"/>
          <w:szCs w:val="20"/>
        </w:rPr>
        <w:t xml:space="preserve">Compensating control plan, Control owner, Monitoring evidence, Expiry or reassessment date</w:t>
      </w:r>
    </w:p>
    <w:p>
      <w:pPr>
        <w:spacing w:after="70"/>
        <w:ind w:left="220"/>
      </w:pPr>
      <w:r>
        <w:rPr>
          <w:b/>
          <w:bCs/>
          <w:color w:val="1D3C5A"/>
          <w:sz w:val="20"/>
          <w:szCs w:val="20"/>
        </w:rPr>
        <w:t xml:space="preserve">Required approval: </w:t>
      </w:r>
      <w:r>
        <w:rPr>
          <w:color w:val="17212B"/>
          <w:sz w:val="20"/>
          <w:szCs w:val="20"/>
        </w:rPr>
        <w:t xml:space="preserve">Security lead and service owner approve temporary mitigation.</w:t>
      </w:r>
    </w:p>
    <w:p>
      <w:pPr>
        <w:spacing w:after="60" w:before="120"/>
      </w:pPr>
      <w:r>
        <w:rPr>
          <w:b/>
          <w:bCs/>
          <w:color w:val="1D3C5A"/>
          <w:sz w:val="22"/>
          <w:szCs w:val="22"/>
        </w:rPr>
        <w:t xml:space="preserve">Risk Accept Temporarily</w:t>
      </w:r>
    </w:p>
    <w:p>
      <w:pPr>
        <w:spacing w:after="70"/>
        <w:ind w:left="220"/>
      </w:pPr>
      <w:r>
        <w:rPr>
          <w:b/>
          <w:bCs/>
          <w:color w:val="1D3C5A"/>
          <w:sz w:val="20"/>
          <w:szCs w:val="20"/>
        </w:rPr>
        <w:t xml:space="preserve">Current status: </w:t>
      </w:r>
      <w:r>
        <w:rPr>
          <w:color w:val="17212B"/>
          <w:sz w:val="20"/>
          <w:szCs w:val="20"/>
        </w:rPr>
        <w:t xml:space="preserve">Blocked</w:t>
      </w:r>
    </w:p>
    <w:p>
      <w:pPr>
        <w:spacing w:after="70"/>
        <w:ind w:left="220"/>
      </w:pPr>
      <w:r>
        <w:rPr>
          <w:b/>
          <w:bCs/>
          <w:color w:val="1D3C5A"/>
          <w:sz w:val="20"/>
          <w:szCs w:val="20"/>
        </w:rPr>
        <w:t xml:space="preserve">Reason: </w:t>
      </w:r>
      <w:r>
        <w:rPr>
          <w:color w:val="17212B"/>
          <w:sz w:val="20"/>
          <w:szCs w:val="20"/>
        </w:rPr>
        <w:t xml:space="preserve">Risk Accept Temporarily is blocked until risk owner, rationale, expiry, compensating controls, and accountable approval exist.</w:t>
      </w:r>
    </w:p>
    <w:p>
      <w:pPr>
        <w:spacing w:after="70"/>
        <w:ind w:left="220"/>
      </w:pPr>
      <w:r>
        <w:rPr>
          <w:b/>
          <w:bCs/>
          <w:color w:val="1D3C5A"/>
          <w:sz w:val="20"/>
          <w:szCs w:val="20"/>
        </w:rPr>
        <w:t xml:space="preserve">Required evidence: </w:t>
      </w:r>
      <w:r>
        <w:rPr>
          <w:color w:val="17212B"/>
          <w:sz w:val="20"/>
          <w:szCs w:val="20"/>
        </w:rPr>
        <w:t xml:space="preserve">Risk owner, Rationale, Expiry, Compensating controls, Residual risk statement</w:t>
      </w:r>
    </w:p>
    <w:p>
      <w:pPr>
        <w:spacing w:after="70"/>
        <w:ind w:left="220"/>
      </w:pPr>
      <w:r>
        <w:rPr>
          <w:b/>
          <w:bCs/>
          <w:color w:val="1D3C5A"/>
          <w:sz w:val="20"/>
          <w:szCs w:val="20"/>
        </w:rPr>
        <w:t xml:space="preserve">Required approval: </w:t>
      </w:r>
      <w:r>
        <w:rPr>
          <w:color w:val="17212B"/>
          <w:sz w:val="20"/>
          <w:szCs w:val="20"/>
        </w:rPr>
        <w:t xml:space="preserve">Named accountable risk owner approval.</w:t>
      </w:r>
    </w:p>
    <w:p>
      <w:pPr>
        <w:spacing w:after="60" w:before="120"/>
      </w:pPr>
      <w:r>
        <w:rPr>
          <w:b/>
          <w:bCs/>
          <w:color w:val="1D3C5A"/>
          <w:sz w:val="22"/>
          <w:szCs w:val="22"/>
        </w:rPr>
        <w:t xml:space="preserve">Recommended: Defer Pending Evidence</w:t>
      </w:r>
    </w:p>
    <w:p>
      <w:pPr>
        <w:spacing w:after="70"/>
        <w:ind w:left="220"/>
      </w:pPr>
      <w:r>
        <w:rPr>
          <w:b/>
          <w:bCs/>
          <w:color w:val="1D3C5A"/>
          <w:sz w:val="20"/>
          <w:szCs w:val="20"/>
        </w:rPr>
        <w:t xml:space="preserve">Current status: </w:t>
      </w:r>
      <w:r>
        <w:rPr>
          <w:color w:val="17212B"/>
          <w:sz w:val="20"/>
          <w:szCs w:val="20"/>
        </w:rPr>
        <w:t xml:space="preserve">Not Recommended</w:t>
      </w:r>
    </w:p>
    <w:p>
      <w:pPr>
        <w:spacing w:after="70"/>
        <w:ind w:left="220"/>
      </w:pPr>
      <w:r>
        <w:rPr>
          <w:b/>
          <w:bCs/>
          <w:color w:val="1D3C5A"/>
          <w:sz w:val="20"/>
          <w:szCs w:val="20"/>
        </w:rPr>
        <w:t xml:space="preserve">Reason: </w:t>
      </w:r>
      <w:r>
        <w:rPr>
          <w:color w:val="17212B"/>
          <w:sz w:val="20"/>
          <w:szCs w:val="20"/>
        </w:rPr>
        <w:t xml:space="preserve">Plain deferral is too passive for a known-exploited finding; use urgent scope confirmation as the active evidence posture.</w:t>
      </w:r>
    </w:p>
    <w:p>
      <w:pPr>
        <w:spacing w:after="70"/>
        <w:ind w:left="220"/>
      </w:pPr>
      <w:r>
        <w:rPr>
          <w:b/>
          <w:bCs/>
          <w:color w:val="1D3C5A"/>
          <w:sz w:val="20"/>
          <w:szCs w:val="20"/>
        </w:rPr>
        <w:t xml:space="preserve">Required evidence: </w:t>
      </w:r>
      <w:r>
        <w:rPr>
          <w:color w:val="17212B"/>
          <w:sz w:val="20"/>
          <w:szCs w:val="20"/>
        </w:rPr>
        <w:t xml:space="preserve">Reviewed vulnerability identity evidence, Affected asset scope, Business service impact, Human source review event</w:t>
      </w:r>
    </w:p>
    <w:p>
      <w:pPr>
        <w:spacing w:after="70"/>
        <w:ind w:left="220"/>
      </w:pPr>
      <w:r>
        <w:rPr>
          <w:b/>
          <w:bCs/>
          <w:color w:val="1D3C5A"/>
          <w:sz w:val="20"/>
          <w:szCs w:val="20"/>
        </w:rPr>
        <w:t xml:space="preserve">Required approval: </w:t>
      </w:r>
      <w:r>
        <w:rPr>
          <w:color w:val="17212B"/>
          <w:sz w:val="20"/>
          <w:szCs w:val="20"/>
        </w:rPr>
        <w:t xml:space="preserve">Evidence owner confirms blocker resolution before approval is requested.</w:t>
      </w:r>
    </w:p>
    <w:p>
      <w:pPr>
        <w:pStyle w:val="Heading1"/>
        <w:pageBreakBefore/>
      </w:pPr>
      <w:r>
        <w:t xml:space="preserve">Evidence Confidence and Gaps</w:t>
      </w:r>
    </w:p>
    <w:p>
      <w:pPr>
        <w:spacing w:after="120"/>
      </w:pPr>
      <w:r>
        <w:t xml:space="preserve">The report separates source-pack evidence from current-state overlays. Source records, scanner findings, SRA/MCP/agent findings, CISA KEV records, EPSS signals, and vendor advisories remain source-bound until reviewed.</w:t>
      </w:r>
    </w:p>
    <w:p>
      <w:pPr>
        <w:spacing w:after="60" w:before="120"/>
      </w:pPr>
      <w:r>
        <w:rPr>
          <w:b/>
          <w:bCs/>
          <w:color w:val="1D3C5A"/>
          <w:sz w:val="22"/>
          <w:szCs w:val="22"/>
        </w:rPr>
        <w:t xml:space="preserve">Reviewed Vulnerability Identity Evidence</w:t>
      </w:r>
    </w:p>
    <w:p>
      <w:pPr>
        <w:spacing w:after="70"/>
        <w:ind w:left="220"/>
      </w:pPr>
      <w:r>
        <w:rPr>
          <w:b/>
          <w:bCs/>
          <w:color w:val="1D3C5A"/>
          <w:sz w:val="20"/>
          <w:szCs w:val="20"/>
        </w:rPr>
        <w:t xml:space="preserve">Plain English gap: </w:t>
      </w:r>
      <w:r>
        <w:rPr>
          <w:color w:val="17212B"/>
          <w:sz w:val="20"/>
          <w:szCs w:val="20"/>
        </w:rPr>
        <w:t xml:space="preserve">The finding identity has not yet been accepted by a named reviewer.</w:t>
      </w:r>
    </w:p>
    <w:p>
      <w:pPr>
        <w:spacing w:after="70"/>
        <w:ind w:left="220"/>
      </w:pPr>
      <w:r>
        <w:rPr>
          <w:b/>
          <w:bCs/>
          <w:color w:val="1D3C5A"/>
          <w:sz w:val="20"/>
          <w:szCs w:val="20"/>
        </w:rPr>
        <w:t xml:space="preserve">Why it matters: </w:t>
      </w:r>
      <w:r>
        <w:rPr>
          <w:color w:val="17212B"/>
          <w:sz w:val="20"/>
          <w:szCs w:val="20"/>
        </w:rPr>
        <w:t xml:space="preserve">CAB and customer assurance need confidence that the CVE, affected product, affected versions, and source provenance are correct before remediation decisions are presented as evidence-led.</w:t>
      </w:r>
    </w:p>
    <w:p>
      <w:pPr>
        <w:spacing w:after="70"/>
        <w:ind w:left="220"/>
      </w:pPr>
      <w:r>
        <w:rPr>
          <w:b/>
          <w:bCs/>
          <w:color w:val="1D3C5A"/>
          <w:sz w:val="20"/>
          <w:szCs w:val="20"/>
        </w:rPr>
        <w:t xml:space="preserve">Required evidence: </w:t>
      </w:r>
      <w:r>
        <w:rPr>
          <w:color w:val="17212B"/>
          <w:sz w:val="20"/>
          <w:szCs w:val="20"/>
        </w:rPr>
        <w:t xml:space="preserve">Reviewed CISA/CVE/vendor advisory record confirming CVE, product, affected versions, and source provenance.</w:t>
      </w:r>
    </w:p>
    <w:p>
      <w:pPr>
        <w:spacing w:after="70"/>
        <w:ind w:left="220"/>
      </w:pPr>
      <w:r>
        <w:rPr>
          <w:b/>
          <w:bCs/>
          <w:color w:val="1D3C5A"/>
          <w:sz w:val="20"/>
          <w:szCs w:val="20"/>
        </w:rPr>
        <w:t xml:space="preserve">Evidence examples: </w:t>
      </w:r>
      <w:r>
        <w:rPr>
          <w:color w:val="17212B"/>
          <w:sz w:val="20"/>
          <w:szCs w:val="20"/>
        </w:rPr>
        <w:t xml:space="preserve">CISA KEV record, NVD/CVE record, vendor advisory, source review event</w:t>
      </w:r>
    </w:p>
    <w:p>
      <w:pPr>
        <w:spacing w:after="70"/>
        <w:ind w:left="220"/>
      </w:pPr>
      <w:r>
        <w:rPr>
          <w:b/>
          <w:bCs/>
          <w:color w:val="1D3C5A"/>
          <w:sz w:val="20"/>
          <w:szCs w:val="20"/>
        </w:rPr>
        <w:t xml:space="preserve">Suggested owner: </w:t>
      </w:r>
      <w:r>
        <w:rPr>
          <w:color w:val="17212B"/>
          <w:sz w:val="20"/>
          <w:szCs w:val="20"/>
        </w:rPr>
        <w:t xml:space="preserve">Security lead or vulnerability manager</w:t>
      </w:r>
    </w:p>
    <w:p>
      <w:pPr>
        <w:spacing w:after="70"/>
        <w:ind w:left="220"/>
      </w:pPr>
      <w:r>
        <w:rPr>
          <w:b/>
          <w:bCs/>
          <w:color w:val="1D3C5A"/>
          <w:sz w:val="20"/>
          <w:szCs w:val="20"/>
        </w:rPr>
        <w:t xml:space="preserve">Next decision gate: </w:t>
      </w:r>
      <w:r>
        <w:rPr>
          <w:color w:val="17212B"/>
          <w:sz w:val="20"/>
          <w:szCs w:val="20"/>
        </w:rPr>
        <w:t xml:space="preserve">Source identity review</w:t>
      </w:r>
    </w:p>
    <w:p>
      <w:pPr>
        <w:spacing w:after="60" w:before="120"/>
      </w:pPr>
      <w:r>
        <w:rPr>
          <w:b/>
          <w:bCs/>
          <w:color w:val="1D3C5A"/>
          <w:sz w:val="22"/>
          <w:szCs w:val="22"/>
        </w:rPr>
        <w:t xml:space="preserve">Affected Asset Scope</w:t>
      </w:r>
    </w:p>
    <w:p>
      <w:pPr>
        <w:spacing w:after="70"/>
        <w:ind w:left="220"/>
      </w:pPr>
      <w:r>
        <w:rPr>
          <w:b/>
          <w:bCs/>
          <w:color w:val="1D3C5A"/>
          <w:sz w:val="20"/>
          <w:szCs w:val="20"/>
        </w:rPr>
        <w:t xml:space="preserve">Plain English gap: </w:t>
      </w:r>
      <w:r>
        <w:rPr>
          <w:color w:val="17212B"/>
          <w:sz w:val="20"/>
          <w:szCs w:val="20"/>
        </w:rPr>
        <w:t xml:space="preserve">Customer asset exposure is not confirmed.</w:t>
      </w:r>
    </w:p>
    <w:p>
      <w:pPr>
        <w:spacing w:after="70"/>
        <w:ind w:left="220"/>
      </w:pPr>
      <w:r>
        <w:rPr>
          <w:b/>
          <w:bCs/>
          <w:color w:val="1D3C5A"/>
          <w:sz w:val="20"/>
          <w:szCs w:val="20"/>
        </w:rPr>
        <w:t xml:space="preserve">Why it matters: </w:t>
      </w:r>
      <w:r>
        <w:rPr>
          <w:color w:val="17212B"/>
          <w:sz w:val="20"/>
          <w:szCs w:val="20"/>
        </w:rPr>
        <w:t xml:space="preserve">Without asset scope, the organisation cannot tell whether the public-source finding affects the customer estate or what operational risk a change would introduce.</w:t>
      </w:r>
    </w:p>
    <w:p>
      <w:pPr>
        <w:spacing w:after="70"/>
        <w:ind w:left="220"/>
      </w:pPr>
      <w:r>
        <w:rPr>
          <w:b/>
          <w:bCs/>
          <w:color w:val="1D3C5A"/>
          <w:sz w:val="20"/>
          <w:szCs w:val="20"/>
        </w:rPr>
        <w:t xml:space="preserve">Required evidence: </w:t>
      </w:r>
      <w:r>
        <w:rPr>
          <w:color w:val="17212B"/>
          <w:sz w:val="20"/>
          <w:szCs w:val="20"/>
        </w:rPr>
        <w:t xml:space="preserve">CMDB, hosting control panel inventory, scanner output, asset owner confirmation.</w:t>
      </w:r>
    </w:p>
    <w:p>
      <w:pPr>
        <w:spacing w:after="70"/>
        <w:ind w:left="220"/>
      </w:pPr>
      <w:r>
        <w:rPr>
          <w:b/>
          <w:bCs/>
          <w:color w:val="1D3C5A"/>
          <w:sz w:val="20"/>
          <w:szCs w:val="20"/>
        </w:rPr>
        <w:t xml:space="preserve">Evidence examples: </w:t>
      </w:r>
      <w:r>
        <w:rPr>
          <w:color w:val="17212B"/>
          <w:sz w:val="20"/>
          <w:szCs w:val="20"/>
        </w:rPr>
        <w:t xml:space="preserve">CMDB asset record, hosting control panel inventory, scanner output, asset owner confirmation</w:t>
      </w:r>
    </w:p>
    <w:p>
      <w:pPr>
        <w:spacing w:after="70"/>
        <w:ind w:left="220"/>
      </w:pPr>
      <w:r>
        <w:rPr>
          <w:b/>
          <w:bCs/>
          <w:color w:val="1D3C5A"/>
          <w:sz w:val="20"/>
          <w:szCs w:val="20"/>
        </w:rPr>
        <w:t xml:space="preserve">Suggested owner: </w:t>
      </w:r>
      <w:r>
        <w:rPr>
          <w:color w:val="17212B"/>
          <w:sz w:val="20"/>
          <w:szCs w:val="20"/>
        </w:rPr>
        <w:t xml:space="preserve">Asset owner or infrastructure lead</w:t>
      </w:r>
    </w:p>
    <w:p>
      <w:pPr>
        <w:spacing w:after="70"/>
        <w:ind w:left="220"/>
      </w:pPr>
      <w:r>
        <w:rPr>
          <w:b/>
          <w:bCs/>
          <w:color w:val="1D3C5A"/>
          <w:sz w:val="20"/>
          <w:szCs w:val="20"/>
        </w:rPr>
        <w:t xml:space="preserve">Next decision gate: </w:t>
      </w:r>
      <w:r>
        <w:rPr>
          <w:color w:val="17212B"/>
          <w:sz w:val="20"/>
          <w:szCs w:val="20"/>
        </w:rPr>
        <w:t xml:space="preserve">Asset exposure confirmation</w:t>
      </w:r>
    </w:p>
    <w:p>
      <w:pPr>
        <w:spacing w:after="60" w:before="120"/>
      </w:pPr>
      <w:r>
        <w:rPr>
          <w:b/>
          <w:bCs/>
          <w:color w:val="1D3C5A"/>
          <w:sz w:val="22"/>
          <w:szCs w:val="22"/>
        </w:rPr>
        <w:t xml:space="preserve">Business Service Impact</w:t>
      </w:r>
    </w:p>
    <w:p>
      <w:pPr>
        <w:spacing w:after="70"/>
        <w:ind w:left="220"/>
      </w:pPr>
      <w:r>
        <w:rPr>
          <w:b/>
          <w:bCs/>
          <w:color w:val="1D3C5A"/>
          <w:sz w:val="20"/>
          <w:szCs w:val="20"/>
        </w:rPr>
        <w:t xml:space="preserve">Plain English gap: </w:t>
      </w:r>
      <w:r>
        <w:rPr>
          <w:color w:val="17212B"/>
          <w:sz w:val="20"/>
          <w:szCs w:val="20"/>
        </w:rPr>
        <w:t xml:space="preserve">Business service and customer impact are not confirmed.</w:t>
      </w:r>
    </w:p>
    <w:p>
      <w:pPr>
        <w:spacing w:after="70"/>
        <w:ind w:left="220"/>
      </w:pPr>
      <w:r>
        <w:rPr>
          <w:b/>
          <w:bCs/>
          <w:color w:val="1D3C5A"/>
          <w:sz w:val="20"/>
          <w:szCs w:val="20"/>
        </w:rPr>
        <w:t xml:space="preserve">Why it matters: </w:t>
      </w:r>
      <w:r>
        <w:rPr>
          <w:color w:val="17212B"/>
          <w:sz w:val="20"/>
          <w:szCs w:val="20"/>
        </w:rPr>
        <w:t xml:space="preserve">Severity alone does not tell the CAB which service, customer journey, SLA, or owner is affected.</w:t>
      </w:r>
    </w:p>
    <w:p>
      <w:pPr>
        <w:spacing w:after="70"/>
        <w:ind w:left="220"/>
      </w:pPr>
      <w:r>
        <w:rPr>
          <w:b/>
          <w:bCs/>
          <w:color w:val="1D3C5A"/>
          <w:sz w:val="20"/>
          <w:szCs w:val="20"/>
        </w:rPr>
        <w:t xml:space="preserve">Required evidence: </w:t>
      </w:r>
      <w:r>
        <w:rPr>
          <w:color w:val="17212B"/>
          <w:sz w:val="20"/>
          <w:szCs w:val="20"/>
        </w:rPr>
        <w:t xml:space="preserve">Service map, customer-facing flag, SLA/OLA impact, service owner.</w:t>
      </w:r>
    </w:p>
    <w:p>
      <w:pPr>
        <w:spacing w:after="70"/>
        <w:ind w:left="220"/>
      </w:pPr>
      <w:r>
        <w:rPr>
          <w:b/>
          <w:bCs/>
          <w:color w:val="1D3C5A"/>
          <w:sz w:val="20"/>
          <w:szCs w:val="20"/>
        </w:rPr>
        <w:t xml:space="preserve">Evidence examples: </w:t>
      </w:r>
      <w:r>
        <w:rPr>
          <w:color w:val="17212B"/>
          <w:sz w:val="20"/>
          <w:szCs w:val="20"/>
        </w:rPr>
        <w:t xml:space="preserve">service catalogue map, customer-facing flag, SLA/OLA record, service owner confirmation</w:t>
      </w:r>
    </w:p>
    <w:p>
      <w:pPr>
        <w:spacing w:after="70"/>
        <w:ind w:left="220"/>
      </w:pPr>
      <w:r>
        <w:rPr>
          <w:b/>
          <w:bCs/>
          <w:color w:val="1D3C5A"/>
          <w:sz w:val="20"/>
          <w:szCs w:val="20"/>
        </w:rPr>
        <w:t xml:space="preserve">Suggested owner: </w:t>
      </w:r>
      <w:r>
        <w:rPr>
          <w:color w:val="17212B"/>
          <w:sz w:val="20"/>
          <w:szCs w:val="20"/>
        </w:rPr>
        <w:t xml:space="preserve">Service owner</w:t>
      </w:r>
    </w:p>
    <w:p>
      <w:pPr>
        <w:spacing w:after="70"/>
        <w:ind w:left="220"/>
      </w:pPr>
      <w:r>
        <w:rPr>
          <w:b/>
          <w:bCs/>
          <w:color w:val="1D3C5A"/>
          <w:sz w:val="20"/>
          <w:szCs w:val="20"/>
        </w:rPr>
        <w:t xml:space="preserve">Next decision gate: </w:t>
      </w:r>
      <w:r>
        <w:rPr>
          <w:color w:val="17212B"/>
          <w:sz w:val="20"/>
          <w:szCs w:val="20"/>
        </w:rPr>
        <w:t xml:space="preserve">Business impact review</w:t>
      </w:r>
    </w:p>
    <w:p>
      <w:pPr>
        <w:spacing w:after="60" w:before="120"/>
      </w:pPr>
      <w:r>
        <w:rPr>
          <w:b/>
          <w:bCs/>
          <w:color w:val="1D3C5A"/>
          <w:sz w:val="22"/>
          <w:szCs w:val="22"/>
        </w:rPr>
        <w:t xml:space="preserve">Human Source Review Event</w:t>
      </w:r>
    </w:p>
    <w:p>
      <w:pPr>
        <w:spacing w:after="70"/>
        <w:ind w:left="220"/>
      </w:pPr>
      <w:r>
        <w:rPr>
          <w:b/>
          <w:bCs/>
          <w:color w:val="1D3C5A"/>
          <w:sz w:val="20"/>
          <w:szCs w:val="20"/>
        </w:rPr>
        <w:t xml:space="preserve">Plain English gap: </w:t>
      </w:r>
      <w:r>
        <w:rPr>
          <w:color w:val="17212B"/>
          <w:sz w:val="20"/>
          <w:szCs w:val="20"/>
        </w:rPr>
        <w:t xml:space="preserve">No named human source review event is recorded.</w:t>
      </w:r>
    </w:p>
    <w:p>
      <w:pPr>
        <w:spacing w:after="70"/>
        <w:ind w:left="220"/>
      </w:pPr>
      <w:r>
        <w:rPr>
          <w:b/>
          <w:bCs/>
          <w:color w:val="1D3C5A"/>
          <w:sz w:val="20"/>
          <w:szCs w:val="20"/>
        </w:rPr>
        <w:t xml:space="preserve">Why it matters: </w:t>
      </w:r>
      <w:r>
        <w:rPr>
          <w:color w:val="17212B"/>
          <w:sz w:val="20"/>
          <w:szCs w:val="20"/>
        </w:rPr>
        <w:t xml:space="preserve">Source-bound intelligence cannot become accepted positive evidence without a reviewer accepting or rejecting the source record.</w:t>
      </w:r>
    </w:p>
    <w:p>
      <w:pPr>
        <w:spacing w:after="70"/>
        <w:ind w:left="220"/>
      </w:pPr>
      <w:r>
        <w:rPr>
          <w:b/>
          <w:bCs/>
          <w:color w:val="1D3C5A"/>
          <w:sz w:val="20"/>
          <w:szCs w:val="20"/>
        </w:rPr>
        <w:t xml:space="preserve">Required evidence: </w:t>
      </w:r>
      <w:r>
        <w:rPr>
          <w:color w:val="17212B"/>
          <w:sz w:val="20"/>
          <w:szCs w:val="20"/>
        </w:rPr>
        <w:t xml:space="preserve">Named reviewer decision accepting or rejecting source records.</w:t>
      </w:r>
    </w:p>
    <w:p>
      <w:pPr>
        <w:spacing w:after="70"/>
        <w:ind w:left="220"/>
      </w:pPr>
      <w:r>
        <w:rPr>
          <w:b/>
          <w:bCs/>
          <w:color w:val="1D3C5A"/>
          <w:sz w:val="20"/>
          <w:szCs w:val="20"/>
        </w:rPr>
        <w:t xml:space="preserve">Evidence examples: </w:t>
      </w:r>
      <w:r>
        <w:rPr>
          <w:color w:val="17212B"/>
          <w:sz w:val="20"/>
          <w:szCs w:val="20"/>
        </w:rPr>
        <w:t xml:space="preserve">source review event, reviewer name or role, accepted/rejected/superseded outcome, review notes</w:t>
      </w:r>
    </w:p>
    <w:p>
      <w:pPr>
        <w:spacing w:after="70"/>
        <w:ind w:left="220"/>
      </w:pPr>
      <w:r>
        <w:rPr>
          <w:b/>
          <w:bCs/>
          <w:color w:val="1D3C5A"/>
          <w:sz w:val="20"/>
          <w:szCs w:val="20"/>
        </w:rPr>
        <w:t xml:space="preserve">Suggested owner: </w:t>
      </w:r>
      <w:r>
        <w:rPr>
          <w:color w:val="17212B"/>
          <w:sz w:val="20"/>
          <w:szCs w:val="20"/>
        </w:rPr>
        <w:t xml:space="preserve">Security lead or CAB reviewer</w:t>
      </w:r>
    </w:p>
    <w:p>
      <w:pPr>
        <w:spacing w:after="70"/>
        <w:ind w:left="220"/>
      </w:pPr>
      <w:r>
        <w:rPr>
          <w:b/>
          <w:bCs/>
          <w:color w:val="1D3C5A"/>
          <w:sz w:val="20"/>
          <w:szCs w:val="20"/>
        </w:rPr>
        <w:t xml:space="preserve">Next decision gate: </w:t>
      </w:r>
      <w:r>
        <w:rPr>
          <w:color w:val="17212B"/>
          <w:sz w:val="20"/>
          <w:szCs w:val="20"/>
        </w:rPr>
        <w:t xml:space="preserve">Human evidence review</w:t>
      </w:r>
    </w:p>
    <w:p>
      <w:pPr>
        <w:spacing w:after="60" w:before="120"/>
      </w:pPr>
      <w:r>
        <w:rPr>
          <w:b/>
          <w:bCs/>
          <w:color w:val="1D3C5A"/>
          <w:sz w:val="22"/>
          <w:szCs w:val="22"/>
        </w:rPr>
        <w:t xml:space="preserve">Source Review Counts</w:t>
      </w:r>
    </w:p>
    <w:p>
      <w:pPr>
        <w:spacing w:after="70"/>
        <w:ind w:left="220"/>
      </w:pPr>
      <w:r>
        <w:rPr>
          <w:b/>
          <w:bCs/>
          <w:color w:val="1D3C5A"/>
          <w:sz w:val="20"/>
          <w:szCs w:val="20"/>
        </w:rPr>
        <w:t xml:space="preserve">Pending source review: </w:t>
      </w:r>
      <w:r>
        <w:rPr>
          <w:color w:val="17212B"/>
          <w:sz w:val="20"/>
          <w:szCs w:val="20"/>
        </w:rPr>
        <w:t xml:space="preserve">1</w:t>
      </w:r>
    </w:p>
    <w:p>
      <w:pPr>
        <w:spacing w:after="70"/>
        <w:ind w:left="220"/>
      </w:pPr>
      <w:r>
        <w:rPr>
          <w:b/>
          <w:bCs/>
          <w:color w:val="1D3C5A"/>
          <w:sz w:val="20"/>
          <w:szCs w:val="20"/>
        </w:rPr>
        <w:t xml:space="preserve">Accepted positive evidence: </w:t>
      </w:r>
      <w:r>
        <w:rPr>
          <w:color w:val="17212B"/>
          <w:sz w:val="20"/>
          <w:szCs w:val="20"/>
        </w:rPr>
        <w:t xml:space="preserve">0</w:t>
      </w:r>
    </w:p>
    <w:p>
      <w:pPr>
        <w:spacing w:after="70"/>
        <w:ind w:left="220"/>
      </w:pPr>
      <w:r>
        <w:rPr>
          <w:b/>
          <w:bCs/>
          <w:color w:val="1D3C5A"/>
          <w:sz w:val="20"/>
          <w:szCs w:val="20"/>
        </w:rPr>
        <w:t xml:space="preserve">Rejected sources: </w:t>
      </w:r>
      <w:r>
        <w:rPr>
          <w:color w:val="17212B"/>
          <w:sz w:val="20"/>
          <w:szCs w:val="20"/>
        </w:rPr>
        <w:t xml:space="preserve">0</w:t>
      </w:r>
    </w:p>
    <w:p>
      <w:pPr>
        <w:pStyle w:val="Heading1"/>
      </w:pPr>
      <w:r>
        <w:t xml:space="preserve">Decision Snapshot</w:t>
      </w:r>
    </w:p>
    <w:p>
      <w:pPr>
        <w:spacing w:after="70"/>
        <w:ind w:left="180"/>
      </w:pPr>
      <w:r>
        <w:rPr>
          <w:b/>
          <w:bCs/>
          <w:color w:val="1D3C5A"/>
          <w:sz w:val="20"/>
          <w:szCs w:val="20"/>
        </w:rPr>
        <w:t xml:space="preserve">Vulnerability: </w:t>
      </w:r>
      <w:r>
        <w:rPr>
          <w:color w:val="17212B"/>
          <w:sz w:val="20"/>
          <w:szCs w:val="20"/>
        </w:rPr>
        <w:t xml:space="preserve">CVE-2026-923386</w:t>
      </w:r>
    </w:p>
    <w:p>
      <w:pPr>
        <w:spacing w:after="70"/>
        <w:ind w:left="180"/>
      </w:pPr>
      <w:r>
        <w:rPr>
          <w:b/>
          <w:bCs/>
          <w:color w:val="1D3C5A"/>
          <w:sz w:val="20"/>
          <w:szCs w:val="20"/>
        </w:rPr>
        <w:t xml:space="preserve">Title: </w:t>
      </w:r>
      <w:r>
        <w:rPr>
          <w:color w:val="17212B"/>
          <w:sz w:val="20"/>
          <w:szCs w:val="20"/>
        </w:rPr>
        <w:t xml:space="preserve">PF-AZ9A VendorLens FortiGate SSL VPN source-bound validation finding</w:t>
      </w:r>
    </w:p>
    <w:p>
      <w:pPr>
        <w:spacing w:after="70"/>
        <w:ind w:left="180"/>
      </w:pPr>
      <w:r>
        <w:rPr>
          <w:b/>
          <w:bCs/>
          <w:color w:val="1D3C5A"/>
          <w:sz w:val="20"/>
          <w:szCs w:val="20"/>
        </w:rPr>
        <w:t xml:space="preserve">Severity: </w:t>
      </w:r>
      <w:r>
        <w:rPr>
          <w:color w:val="17212B"/>
          <w:sz w:val="20"/>
          <w:szCs w:val="20"/>
        </w:rPr>
        <w:t xml:space="preserve">Critical</w:t>
      </w:r>
    </w:p>
    <w:p>
      <w:pPr>
        <w:spacing w:after="70"/>
        <w:ind w:left="180"/>
      </w:pPr>
      <w:r>
        <w:rPr>
          <w:b/>
          <w:bCs/>
          <w:color w:val="1D3C5A"/>
          <w:sz w:val="20"/>
          <w:szCs w:val="20"/>
        </w:rPr>
        <w:t xml:space="preserve">Decision posture: </w:t>
      </w:r>
      <w:r>
        <w:rPr>
          <w:color w:val="17212B"/>
          <w:sz w:val="20"/>
          <w:szCs w:val="20"/>
        </w:rPr>
        <w:t xml:space="preserve">Defer Pending Evidence</w:t>
      </w:r>
    </w:p>
    <w:p>
      <w:pPr>
        <w:spacing w:after="70"/>
        <w:ind w:left="180"/>
      </w:pPr>
      <w:r>
        <w:rPr>
          <w:b/>
          <w:bCs/>
          <w:color w:val="1D3C5A"/>
          <w:sz w:val="20"/>
          <w:szCs w:val="20"/>
        </w:rPr>
        <w:t xml:space="preserve">Readiness: </w:t>
      </w:r>
      <w:r>
        <w:rPr>
          <w:color w:val="17212B"/>
          <w:sz w:val="20"/>
          <w:szCs w:val="20"/>
        </w:rPr>
        <w:t xml:space="preserve">Blocked (0)</w:t>
      </w:r>
    </w:p>
    <w:p>
      <w:pPr>
        <w:spacing w:after="70"/>
        <w:ind w:left="180"/>
      </w:pPr>
      <w:r>
        <w:rPr>
          <w:b/>
          <w:bCs/>
          <w:color w:val="1D3C5A"/>
          <w:sz w:val="20"/>
          <w:szCs w:val="20"/>
        </w:rPr>
        <w:t xml:space="preserve">Final approval: </w:t>
      </w:r>
      <w:r>
        <w:rPr>
          <w:color w:val="17212B"/>
          <w:sz w:val="20"/>
          <w:szCs w:val="20"/>
        </w:rPr>
        <w:t xml:space="preserve">Not issued</w:t>
      </w:r>
    </w:p>
    <w:p>
      <w:pPr>
        <w:spacing w:after="70"/>
        <w:ind w:left="180"/>
      </w:pPr>
      <w:r>
        <w:rPr>
          <w:b/>
          <w:bCs/>
          <w:color w:val="1D3C5A"/>
          <w:sz w:val="20"/>
          <w:szCs w:val="20"/>
        </w:rPr>
        <w:t xml:space="preserve">Source pack: </w:t>
      </w:r>
      <w:r>
        <w:rPr>
          <w:color w:val="17212B"/>
          <w:sz w:val="20"/>
          <w:szCs w:val="20"/>
        </w:rPr>
        <w:t xml:space="preserve">Immutable and preserved</w:t>
      </w:r>
    </w:p>
    <w:p>
      <w:pPr>
        <w:pStyle w:val="Heading1"/>
      </w:pPr>
      <w:r>
        <w:t xml:space="preserve">Evidence, Trust, and Signing</w:t>
      </w:r>
    </w:p>
    <w:p>
      <w:pPr>
        <w:spacing w:after="70"/>
        <w:ind w:left="180"/>
      </w:pPr>
      <w:r>
        <w:rPr>
          <w:b/>
          <w:bCs/>
          <w:color w:val="1D3C5A"/>
          <w:sz w:val="20"/>
          <w:szCs w:val="20"/>
        </w:rPr>
        <w:t xml:space="preserve">Signed pack: </w:t>
      </w:r>
      <w:r>
        <w:rPr>
          <w:color w:val="17212B"/>
          <w:sz w:val="20"/>
          <w:szCs w:val="20"/>
        </w:rPr>
        <w:t xml:space="preserve">PF-20260528-9e896f66</w:t>
      </w:r>
    </w:p>
    <w:p>
      <w:pPr>
        <w:spacing w:after="70"/>
        <w:ind w:left="180"/>
      </w:pPr>
      <w:r>
        <w:rPr>
          <w:b/>
          <w:bCs/>
          <w:color w:val="1D3C5A"/>
          <w:sz w:val="20"/>
          <w:szCs w:val="20"/>
        </w:rPr>
        <w:t xml:space="preserve">Verification: </w:t>
      </w:r>
      <w:r>
        <w:rPr>
          <w:color w:val="17212B"/>
          <w:sz w:val="20"/>
          <w:szCs w:val="20"/>
        </w:rPr>
        <w:t xml:space="preserve">Verified</w:t>
      </w:r>
    </w:p>
    <w:p>
      <w:pPr>
        <w:spacing w:after="70"/>
        <w:ind w:left="180"/>
      </w:pPr>
      <w:r>
        <w:rPr>
          <w:b/>
          <w:bCs/>
          <w:color w:val="1D3C5A"/>
          <w:sz w:val="20"/>
          <w:szCs w:val="20"/>
        </w:rPr>
        <w:t xml:space="preserve">Signing provider: </w:t>
      </w:r>
      <w:r>
        <w:rPr>
          <w:color w:val="17212B"/>
          <w:sz w:val="20"/>
          <w:szCs w:val="20"/>
        </w:rPr>
        <w:t xml:space="preserve">Azure Key Vault</w:t>
      </w:r>
    </w:p>
    <w:p>
      <w:pPr>
        <w:spacing w:after="70"/>
        <w:ind w:left="180"/>
      </w:pPr>
      <w:r>
        <w:rPr>
          <w:b/>
          <w:bCs/>
          <w:color w:val="1D3C5A"/>
          <w:sz w:val="20"/>
          <w:szCs w:val="20"/>
        </w:rPr>
        <w:t xml:space="preserve">Signature algorithm: </w:t>
      </w:r>
      <w:r>
        <w:rPr>
          <w:color w:val="17212B"/>
          <w:sz w:val="20"/>
          <w:szCs w:val="20"/>
        </w:rPr>
        <w:t xml:space="preserve">ES256</w:t>
      </w:r>
    </w:p>
    <w:p>
      <w:pPr>
        <w:spacing w:after="70"/>
        <w:ind w:left="180"/>
      </w:pPr>
      <w:r>
        <w:rPr>
          <w:b/>
          <w:bCs/>
          <w:color w:val="1D3C5A"/>
          <w:sz w:val="20"/>
          <w:szCs w:val="20"/>
        </w:rPr>
        <w:t xml:space="preserve">Governance manifest SHA-256: </w:t>
      </w:r>
      <w:r>
        <w:rPr>
          <w:color w:val="17212B"/>
          <w:sz w:val="20"/>
          <w:szCs w:val="20"/>
        </w:rPr>
        <w:t xml:space="preserve">3872efe5b1a4def2c93f2972cb783c0737e52a838ecde949a4f9f234fc944cd8</w:t>
      </w:r>
    </w:p>
    <w:p>
      <w:pPr>
        <w:spacing w:after="70"/>
        <w:ind w:left="180"/>
      </w:pPr>
      <w:r>
        <w:rPr>
          <w:b/>
          <w:bCs/>
          <w:color w:val="1D3C5A"/>
          <w:sz w:val="20"/>
          <w:szCs w:val="20"/>
        </w:rPr>
        <w:t xml:space="preserve">Evidence references: </w:t>
      </w:r>
      <w:r>
        <w:rPr>
          <w:color w:val="17212B"/>
          <w:sz w:val="20"/>
          <w:szCs w:val="20"/>
        </w:rPr>
        <w:t xml:space="preserve">6</w:t>
      </w:r>
    </w:p>
    <w:p>
      <w:pPr>
        <w:pStyle w:val="Heading1"/>
      </w:pPr>
      <w:r>
        <w:t xml:space="preserve">Source Intelligence</w:t>
      </w:r>
    </w:p>
    <w:p>
      <w:pPr>
        <w:spacing w:after="60" w:before="120"/>
      </w:pPr>
      <w:r>
        <w:rPr>
          <w:b/>
          <w:bCs/>
          <w:color w:val="1D3C5A"/>
          <w:sz w:val="22"/>
          <w:szCs w:val="22"/>
        </w:rPr>
        <w:t xml:space="preserve">src-pfaz9a-val-fortinet-923b386</w:t>
      </w:r>
    </w:p>
    <w:p>
      <w:pPr>
        <w:spacing w:after="70"/>
        <w:ind w:left="220"/>
      </w:pPr>
      <w:r>
        <w:rPr>
          <w:b/>
          <w:bCs/>
          <w:color w:val="1D3C5A"/>
          <w:sz w:val="20"/>
          <w:szCs w:val="20"/>
        </w:rPr>
        <w:t xml:space="preserve">Class: </w:t>
      </w:r>
      <w:r>
        <w:rPr>
          <w:color w:val="17212B"/>
          <w:sz w:val="20"/>
          <w:szCs w:val="20"/>
        </w:rPr>
        <w:t xml:space="preserve">Vendor Advisory</w:t>
      </w:r>
    </w:p>
    <w:p>
      <w:pPr>
        <w:spacing w:after="70"/>
        <w:ind w:left="220"/>
      </w:pPr>
      <w:r>
        <w:rPr>
          <w:b/>
          <w:bCs/>
          <w:color w:val="1D3C5A"/>
          <w:sz w:val="20"/>
          <w:szCs w:val="20"/>
        </w:rPr>
        <w:t xml:space="preserve">Review: </w:t>
      </w:r>
      <w:r>
        <w:rPr>
          <w:color w:val="17212B"/>
          <w:sz w:val="20"/>
          <w:szCs w:val="20"/>
        </w:rPr>
        <w:t xml:space="preserve">Pending Review</w:t>
      </w:r>
    </w:p>
    <w:p>
      <w:pPr>
        <w:spacing w:after="70"/>
        <w:ind w:left="220"/>
      </w:pPr>
      <w:r>
        <w:rPr>
          <w:b/>
          <w:bCs/>
          <w:color w:val="1D3C5A"/>
          <w:sz w:val="20"/>
          <w:szCs w:val="20"/>
        </w:rPr>
        <w:t xml:space="preserve">Evidence: </w:t>
      </w:r>
      <w:r>
        <w:rPr>
          <w:color w:val="17212B"/>
          <w:sz w:val="20"/>
          <w:szCs w:val="20"/>
        </w:rPr>
        <w:t xml:space="preserve">Referenced</w:t>
      </w:r>
    </w:p>
    <w:p>
      <w:pPr>
        <w:spacing w:after="70"/>
        <w:ind w:left="220"/>
      </w:pPr>
      <w:r>
        <w:rPr>
          <w:b/>
          <w:bCs/>
          <w:color w:val="1D3C5A"/>
          <w:sz w:val="20"/>
          <w:szCs w:val="20"/>
        </w:rPr>
        <w:t xml:space="preserve">Source URL: </w:t>
      </w:r>
      <w:r>
        <w:rPr>
          <w:color w:val="17212B"/>
          <w:sz w:val="20"/>
          <w:szCs w:val="20"/>
        </w:rPr>
        <w:t xml:space="preserve">https://www.fortiguard.com/psirt</w:t>
      </w:r>
    </w:p>
    <w:p>
      <w:pPr>
        <w:pStyle w:val="Heading1"/>
      </w:pPr>
      <w:r>
        <w:t xml:space="preserve">Bayesian Advisory</w:t>
      </w:r>
    </w:p>
    <w:p>
      <w:pPr>
        <w:spacing w:after="70"/>
        <w:ind w:left="180"/>
      </w:pPr>
      <w:r>
        <w:rPr>
          <w:b/>
          <w:bCs/>
          <w:color w:val="1D3C5A"/>
          <w:sz w:val="20"/>
          <w:szCs w:val="20"/>
        </w:rPr>
        <w:t xml:space="preserve">Availability: </w:t>
      </w:r>
      <w:r>
        <w:rPr>
          <w:color w:val="17212B"/>
          <w:sz w:val="20"/>
          <w:szCs w:val="20"/>
        </w:rPr>
        <w:t xml:space="preserve">Generated</w:t>
      </w:r>
    </w:p>
    <w:p>
      <w:pPr>
        <w:spacing w:after="70"/>
        <w:ind w:left="180"/>
      </w:pPr>
      <w:r>
        <w:rPr>
          <w:b/>
          <w:bCs/>
          <w:color w:val="1D3C5A"/>
          <w:sz w:val="20"/>
          <w:szCs w:val="20"/>
        </w:rPr>
        <w:t xml:space="preserve">Advisory boundary: </w:t>
      </w:r>
      <w:r>
        <w:rPr>
          <w:color w:val="17212B"/>
          <w:sz w:val="20"/>
          <w:szCs w:val="20"/>
        </w:rPr>
        <w:t xml:space="preserve">Advisory only; cannot close gates or approve risk</w:t>
      </w:r>
    </w:p>
    <w:p>
      <w:pPr>
        <w:spacing w:after="70"/>
        <w:ind w:left="180"/>
      </w:pPr>
      <w:r>
        <w:rPr>
          <w:b/>
          <w:bCs/>
          <w:color w:val="1D3C5A"/>
          <w:sz w:val="20"/>
          <w:szCs w:val="20"/>
        </w:rPr>
        <w:t xml:space="preserve">Recommended posture: </w:t>
      </w:r>
      <w:r>
        <w:rPr>
          <w:color w:val="17212B"/>
          <w:sz w:val="20"/>
          <w:szCs w:val="20"/>
        </w:rPr>
        <w:t xml:space="preserve">Defer Pending Evidence</w:t>
      </w:r>
    </w:p>
    <w:p>
      <w:pPr>
        <w:spacing w:after="70"/>
        <w:ind w:left="180"/>
      </w:pPr>
      <w:r>
        <w:rPr>
          <w:b/>
          <w:bCs/>
          <w:color w:val="1D3C5A"/>
          <w:sz w:val="20"/>
          <w:szCs w:val="20"/>
        </w:rPr>
        <w:t xml:space="preserve">Exploit probability posterior: </w:t>
      </w:r>
      <w:r>
        <w:rPr>
          <w:color w:val="17212B"/>
          <w:sz w:val="20"/>
          <w:szCs w:val="20"/>
        </w:rPr>
        <w:t xml:space="preserve">68%</w:t>
      </w:r>
    </w:p>
    <w:p>
      <w:pPr>
        <w:spacing w:after="70"/>
        <w:ind w:left="180"/>
      </w:pPr>
      <w:r>
        <w:rPr>
          <w:b/>
          <w:bCs/>
          <w:color w:val="1D3C5A"/>
          <w:sz w:val="20"/>
          <w:szCs w:val="20"/>
        </w:rPr>
        <w:t xml:space="preserve">Business impact posterior: </w:t>
      </w:r>
      <w:r>
        <w:rPr>
          <w:color w:val="17212B"/>
          <w:sz w:val="20"/>
          <w:szCs w:val="20"/>
        </w:rPr>
        <w:t xml:space="preserve">35%</w:t>
      </w:r>
    </w:p>
    <w:p>
      <w:pPr>
        <w:spacing w:after="70"/>
        <w:ind w:left="180"/>
      </w:pPr>
      <w:r>
        <w:rPr>
          <w:b/>
          <w:bCs/>
          <w:color w:val="1D3C5A"/>
          <w:sz w:val="20"/>
          <w:szCs w:val="20"/>
        </w:rPr>
        <w:t xml:space="preserve">Patch feasibility posterior: </w:t>
      </w:r>
      <w:r>
        <w:rPr>
          <w:color w:val="17212B"/>
          <w:sz w:val="20"/>
          <w:szCs w:val="20"/>
        </w:rPr>
        <w:t xml:space="preserve">67%</w:t>
      </w:r>
    </w:p>
    <w:p>
      <w:pPr>
        <w:spacing w:after="70"/>
        <w:ind w:left="180"/>
      </w:pPr>
      <w:r>
        <w:rPr>
          <w:b/>
          <w:bCs/>
          <w:color w:val="1D3C5A"/>
          <w:sz w:val="20"/>
          <w:szCs w:val="20"/>
        </w:rPr>
        <w:t xml:space="preserve">Change risk posterior: </w:t>
      </w:r>
      <w:r>
        <w:rPr>
          <w:color w:val="17212B"/>
          <w:sz w:val="20"/>
          <w:szCs w:val="20"/>
        </w:rPr>
        <w:t xml:space="preserve">52%</w:t>
      </w:r>
    </w:p>
    <w:p>
      <w:pPr>
        <w:spacing w:after="70"/>
        <w:ind w:left="180"/>
      </w:pPr>
      <w:r>
        <w:rPr>
          <w:b/>
          <w:bCs/>
          <w:color w:val="1D3C5A"/>
          <w:sz w:val="20"/>
          <w:szCs w:val="20"/>
        </w:rPr>
        <w:t xml:space="preserve">Deferral risk posterior: </w:t>
      </w:r>
      <w:r>
        <w:rPr>
          <w:color w:val="17212B"/>
          <w:sz w:val="20"/>
          <w:szCs w:val="20"/>
        </w:rPr>
        <w:t xml:space="preserve">61%</w:t>
      </w:r>
    </w:p>
    <w:p>
      <w:pPr>
        <w:pStyle w:val="Heading1"/>
      </w:pPr>
      <w:r>
        <w:t xml:space="preserve">Vendor and Threat Landscape</w:t>
      </w:r>
    </w:p>
    <w:p>
      <w:pPr>
        <w:spacing w:after="70"/>
        <w:ind w:left="180"/>
      </w:pPr>
      <w:r>
        <w:rPr>
          <w:b/>
          <w:bCs/>
          <w:color w:val="1D3C5A"/>
          <w:sz w:val="20"/>
          <w:szCs w:val="20"/>
        </w:rPr>
        <w:t xml:space="preserve">Vendor intelligence: </w:t>
      </w:r>
      <w:r>
        <w:rPr>
          <w:color w:val="17212B"/>
          <w:sz w:val="20"/>
          <w:szCs w:val="20"/>
        </w:rPr>
        <w:t xml:space="preserve">Reviewed vendor advisory evidence has not yet been attached.</w:t>
      </w:r>
    </w:p>
    <w:p>
      <w:pPr>
        <w:spacing w:after="70"/>
        <w:ind w:left="180"/>
      </w:pPr>
      <w:r>
        <w:rPr>
          <w:b/>
          <w:bCs/>
          <w:color w:val="1D3C5A"/>
          <w:sz w:val="20"/>
          <w:szCs w:val="20"/>
        </w:rPr>
        <w:t xml:space="preserve">Vendor applicability: </w:t>
      </w:r>
      <w:r>
        <w:rPr>
          <w:color w:val="17212B"/>
          <w:sz w:val="20"/>
          <w:szCs w:val="20"/>
        </w:rPr>
        <w:t xml:space="preserve">Patch maturity, affected versions, workaround guidance, and remediation applicability remain unverified.</w:t>
      </w:r>
    </w:p>
    <w:p>
      <w:pPr>
        <w:spacing w:after="70"/>
        <w:ind w:left="180"/>
      </w:pPr>
      <w:r>
        <w:rPr>
          <w:b/>
          <w:bCs/>
          <w:color w:val="1D3C5A"/>
          <w:sz w:val="20"/>
          <w:szCs w:val="20"/>
        </w:rPr>
        <w:t xml:space="preserve">Threat landscape: </w:t>
      </w:r>
      <w:r>
        <w:rPr>
          <w:color w:val="17212B"/>
          <w:sz w:val="20"/>
          <w:szCs w:val="20"/>
        </w:rPr>
        <w:t xml:space="preserve">Threat metrics shown below are source-bound public-intelligence signals and do not close hard gates.</w:t>
      </w:r>
    </w:p>
    <w:p>
      <w:pPr>
        <w:spacing w:after="70"/>
        <w:ind w:left="180"/>
      </w:pPr>
      <w:r>
        <w:rPr>
          <w:b/>
          <w:bCs/>
          <w:color w:val="1D3C5A"/>
          <w:sz w:val="20"/>
          <w:szCs w:val="20"/>
        </w:rPr>
        <w:t xml:space="preserve">Active exploitation signals: </w:t>
      </w:r>
      <w:r>
        <w:rPr>
          <w:color w:val="17212B"/>
          <w:sz w:val="20"/>
          <w:szCs w:val="20"/>
        </w:rPr>
        <w:t xml:space="preserve">13</w:t>
      </w:r>
    </w:p>
    <w:p>
      <w:pPr>
        <w:spacing w:after="70"/>
        <w:ind w:left="180"/>
      </w:pPr>
      <w:r>
        <w:rPr>
          <w:b/>
          <w:bCs/>
          <w:color w:val="1D3C5A"/>
          <w:sz w:val="20"/>
          <w:szCs w:val="20"/>
        </w:rPr>
        <w:t xml:space="preserve">Critical open advisories: </w:t>
      </w:r>
      <w:r>
        <w:rPr>
          <w:color w:val="17212B"/>
          <w:sz w:val="20"/>
          <w:szCs w:val="20"/>
        </w:rPr>
        <w:t xml:space="preserve">2</w:t>
      </w:r>
    </w:p>
    <w:p>
      <w:pPr>
        <w:spacing w:after="70"/>
        <w:ind w:left="180"/>
      </w:pPr>
      <w:r>
        <w:rPr>
          <w:b/>
          <w:bCs/>
          <w:color w:val="1D3C5A"/>
          <w:sz w:val="20"/>
          <w:szCs w:val="20"/>
        </w:rPr>
        <w:t xml:space="preserve">Patch maturity: </w:t>
      </w:r>
      <w:r>
        <w:rPr>
          <w:color w:val="17212B"/>
          <w:sz w:val="20"/>
          <w:szCs w:val="20"/>
        </w:rPr>
        <w:t xml:space="preserve">Unknown</w:t>
      </w:r>
    </w:p>
    <w:p>
      <w:pPr>
        <w:spacing w:after="70"/>
        <w:ind w:left="180"/>
      </w:pPr>
      <w:r>
        <w:rPr>
          <w:b/>
          <w:bCs/>
          <w:color w:val="1D3C5A"/>
          <w:sz w:val="20"/>
          <w:szCs w:val="20"/>
        </w:rPr>
        <w:t xml:space="preserve">Source review: </w:t>
      </w:r>
      <w:r>
        <w:rPr>
          <w:color w:val="17212B"/>
          <w:sz w:val="20"/>
          <w:szCs w:val="20"/>
        </w:rPr>
        <w:t xml:space="preserve">Pending review unless explicitly accepted</w:t>
      </w:r>
    </w:p>
    <w:p>
      <w:pPr>
        <w:pStyle w:val="Heading1"/>
      </w:pPr>
      <w:r>
        <w:t xml:space="preserve">Network Vendor Applicability</w:t>
      </w:r>
    </w:p>
    <w:p>
      <w:pPr>
        <w:spacing w:after="120"/>
      </w:pPr>
      <w:r>
        <w:t xml:space="preserve">VendorLens context is attached to this signed pack as source-bound advisory intelligence.</w:t>
      </w:r>
    </w:p>
    <w:p>
      <w:pPr>
        <w:spacing w:after="70"/>
        <w:ind w:left="180"/>
      </w:pPr>
      <w:r>
        <w:rPr>
          <w:b/>
          <w:bCs/>
          <w:color w:val="1D3C5A"/>
          <w:sz w:val="20"/>
          <w:szCs w:val="20"/>
        </w:rPr>
        <w:t xml:space="preserve">Vendor: </w:t>
      </w:r>
      <w:r>
        <w:rPr>
          <w:color w:val="17212B"/>
          <w:sz w:val="20"/>
          <w:szCs w:val="20"/>
        </w:rPr>
        <w:t xml:space="preserve">Fortinet</w:t>
      </w:r>
    </w:p>
    <w:p>
      <w:pPr>
        <w:spacing w:after="70"/>
        <w:ind w:left="180"/>
      </w:pPr>
      <w:r>
        <w:rPr>
          <w:b/>
          <w:bCs/>
          <w:color w:val="1D3C5A"/>
          <w:sz w:val="20"/>
          <w:szCs w:val="20"/>
        </w:rPr>
        <w:t xml:space="preserve">Advisory / CVE: </w:t>
      </w:r>
      <w:r>
        <w:rPr>
          <w:color w:val="17212B"/>
          <w:sz w:val="20"/>
          <w:szCs w:val="20"/>
        </w:rPr>
        <w:t xml:space="preserve">CVE-2026-923386</w:t>
      </w:r>
    </w:p>
    <w:p>
      <w:pPr>
        <w:spacing w:after="70"/>
        <w:ind w:left="180"/>
      </w:pPr>
      <w:r>
        <w:rPr>
          <w:b/>
          <w:bCs/>
          <w:color w:val="1D3C5A"/>
          <w:sz w:val="20"/>
          <w:szCs w:val="20"/>
        </w:rPr>
        <w:t xml:space="preserve">Applicability posture: </w:t>
      </w:r>
      <w:r>
        <w:rPr>
          <w:color w:val="17212B"/>
          <w:sz w:val="20"/>
          <w:szCs w:val="20"/>
        </w:rPr>
        <w:t xml:space="preserve">Requires Review</w:t>
      </w:r>
    </w:p>
    <w:p>
      <w:pPr>
        <w:spacing w:after="70"/>
        <w:ind w:left="180"/>
      </w:pPr>
      <w:r>
        <w:rPr>
          <w:b/>
          <w:bCs/>
          <w:color w:val="1D3C5A"/>
          <w:sz w:val="20"/>
          <w:szCs w:val="20"/>
        </w:rPr>
        <w:t xml:space="preserve">Urgency posture: </w:t>
      </w:r>
      <w:r>
        <w:rPr>
          <w:color w:val="17212B"/>
          <w:sz w:val="20"/>
          <w:szCs w:val="20"/>
        </w:rPr>
        <w:t xml:space="preserve">Urgent Scope Confirmation Required</w:t>
      </w:r>
    </w:p>
    <w:p>
      <w:pPr>
        <w:spacing w:after="70"/>
        <w:ind w:left="180"/>
      </w:pPr>
      <w:r>
        <w:rPr>
          <w:b/>
          <w:bCs/>
          <w:color w:val="1D3C5A"/>
          <w:sz w:val="20"/>
          <w:szCs w:val="20"/>
        </w:rPr>
        <w:t xml:space="preserve">Human review: </w:t>
      </w:r>
      <w:r>
        <w:rPr>
          <w:color w:val="17212B"/>
          <w:sz w:val="20"/>
          <w:szCs w:val="20"/>
        </w:rPr>
        <w:t xml:space="preserve">Required</w:t>
      </w:r>
    </w:p>
    <w:p>
      <w:pPr>
        <w:spacing w:after="70"/>
        <w:ind w:left="180"/>
      </w:pPr>
      <w:r>
        <w:rPr>
          <w:b/>
          <w:bCs/>
          <w:color w:val="1D3C5A"/>
          <w:sz w:val="20"/>
          <w:szCs w:val="20"/>
        </w:rPr>
        <w:t xml:space="preserve">Final approval: </w:t>
      </w:r>
      <w:r>
        <w:rPr>
          <w:color w:val="17212B"/>
          <w:sz w:val="20"/>
          <w:szCs w:val="20"/>
        </w:rPr>
        <w:t xml:space="preserve">Not issued</w:t>
      </w:r>
    </w:p>
    <w:p>
      <w:pPr>
        <w:pStyle w:val="Heading2"/>
      </w:pPr>
      <w:r>
        <w:t xml:space="preserve">Customer Configuration Context</w:t>
      </w:r>
    </w:p>
    <w:p>
      <w:pPr>
        <w:spacing w:after="70"/>
        <w:ind w:left="180"/>
      </w:pPr>
      <w:r>
        <w:rPr>
          <w:b/>
          <w:bCs/>
          <w:color w:val="1D3C5A"/>
          <w:sz w:val="20"/>
          <w:szCs w:val="20"/>
        </w:rPr>
        <w:t xml:space="preserve">Asset: </w:t>
      </w:r>
      <w:r>
        <w:rPr>
          <w:color w:val="17212B"/>
          <w:sz w:val="20"/>
          <w:szCs w:val="20"/>
        </w:rPr>
        <w:t xml:space="preserve">pfaz9a-val-fortigate-100f-923b386</w:t>
      </w:r>
    </w:p>
    <w:p>
      <w:pPr>
        <w:spacing w:after="70"/>
        <w:ind w:left="180"/>
      </w:pPr>
      <w:r>
        <w:rPr>
          <w:b/>
          <w:bCs/>
          <w:color w:val="1D3C5A"/>
          <w:sz w:val="20"/>
          <w:szCs w:val="20"/>
        </w:rPr>
        <w:t xml:space="preserve">Product family: </w:t>
      </w:r>
      <w:r>
        <w:rPr>
          <w:color w:val="17212B"/>
          <w:sz w:val="20"/>
          <w:szCs w:val="20"/>
        </w:rPr>
        <w:t xml:space="preserve">Fortinet Firewall</w:t>
      </w:r>
    </w:p>
    <w:p>
      <w:pPr>
        <w:spacing w:after="70"/>
        <w:ind w:left="180"/>
      </w:pPr>
      <w:r>
        <w:rPr>
          <w:b/>
          <w:bCs/>
          <w:color w:val="1D3C5A"/>
          <w:sz w:val="20"/>
          <w:szCs w:val="20"/>
        </w:rPr>
        <w:t xml:space="preserve">Model: </w:t>
      </w:r>
      <w:r>
        <w:rPr>
          <w:color w:val="17212B"/>
          <w:sz w:val="20"/>
          <w:szCs w:val="20"/>
        </w:rPr>
        <w:t xml:space="preserve">FortiGate 100F</w:t>
      </w:r>
    </w:p>
    <w:p>
      <w:pPr>
        <w:spacing w:after="70"/>
        <w:ind w:left="180"/>
      </w:pPr>
      <w:r>
        <w:rPr>
          <w:b/>
          <w:bCs/>
          <w:color w:val="1D3C5A"/>
          <w:sz w:val="20"/>
          <w:szCs w:val="20"/>
        </w:rPr>
        <w:t xml:space="preserve">Firmware / version: </w:t>
      </w:r>
      <w:r>
        <w:rPr>
          <w:color w:val="17212B"/>
          <w:sz w:val="20"/>
          <w:szCs w:val="20"/>
        </w:rPr>
        <w:t xml:space="preserve">7.2.7</w:t>
      </w:r>
    </w:p>
    <w:p>
      <w:pPr>
        <w:spacing w:after="70"/>
        <w:ind w:left="180"/>
      </w:pPr>
      <w:r>
        <w:rPr>
          <w:b/>
          <w:bCs/>
          <w:color w:val="1D3C5A"/>
          <w:sz w:val="20"/>
          <w:szCs w:val="20"/>
        </w:rPr>
        <w:t xml:space="preserve">Enabled features: </w:t>
      </w:r>
      <w:r>
        <w:rPr>
          <w:color w:val="17212B"/>
          <w:sz w:val="20"/>
          <w:szCs w:val="20"/>
        </w:rPr>
        <w:t xml:space="preserve">IPsec VPN</w:t>
      </w:r>
    </w:p>
    <w:p>
      <w:pPr>
        <w:spacing w:after="70"/>
        <w:ind w:left="180"/>
      </w:pPr>
      <w:r>
        <w:rPr>
          <w:b/>
          <w:bCs/>
          <w:color w:val="1D3C5A"/>
          <w:sz w:val="20"/>
          <w:szCs w:val="20"/>
        </w:rPr>
        <w:t xml:space="preserve">Disabled features: </w:t>
      </w:r>
      <w:r>
        <w:rPr>
          <w:color w:val="17212B"/>
          <w:sz w:val="20"/>
          <w:szCs w:val="20"/>
        </w:rPr>
        <w:t xml:space="preserve">SSL-VPN</w:t>
      </w:r>
    </w:p>
    <w:p>
      <w:pPr>
        <w:spacing w:after="70"/>
        <w:ind w:left="180"/>
      </w:pPr>
      <w:r>
        <w:rPr>
          <w:b/>
          <w:bCs/>
          <w:color w:val="1D3C5A"/>
          <w:sz w:val="20"/>
          <w:szCs w:val="20"/>
        </w:rPr>
        <w:t xml:space="preserve">Configuration evidence: </w:t>
      </w:r>
      <w:r>
        <w:rPr>
          <w:color w:val="17212B"/>
          <w:sz w:val="20"/>
          <w:szCs w:val="20"/>
        </w:rPr>
        <w:t xml:space="preserve">pfaz9a-browser-msal-validation</w:t>
      </w:r>
    </w:p>
    <w:p>
      <w:pPr>
        <w:spacing w:after="70"/>
        <w:ind w:left="180"/>
      </w:pPr>
      <w:r>
        <w:rPr>
          <w:b/>
          <w:bCs/>
          <w:color w:val="1D3C5A"/>
          <w:sz w:val="20"/>
          <w:szCs w:val="20"/>
        </w:rPr>
        <w:t xml:space="preserve">Review state: </w:t>
      </w:r>
      <w:r>
        <w:rPr>
          <w:color w:val="17212B"/>
          <w:sz w:val="20"/>
          <w:szCs w:val="20"/>
        </w:rPr>
        <w:t xml:space="preserve">Pending Review</w:t>
      </w:r>
    </w:p>
    <w:p>
      <w:pPr>
        <w:pStyle w:val="Heading2"/>
      </w:pPr>
      <w:r>
        <w:t xml:space="preserve">Affected Feature Assessment</w:t>
      </w:r>
    </w:p>
    <w:p>
      <w:pPr>
        <w:spacing w:after="70"/>
        <w:ind w:left="180"/>
      </w:pPr>
      <w:r>
        <w:rPr>
          <w:b/>
          <w:bCs/>
          <w:color w:val="1D3C5A"/>
          <w:sz w:val="20"/>
          <w:szCs w:val="20"/>
        </w:rPr>
        <w:t xml:space="preserve">Affected feature: </w:t>
      </w:r>
      <w:r>
        <w:rPr>
          <w:color w:val="17212B"/>
          <w:sz w:val="20"/>
          <w:szCs w:val="20"/>
        </w:rPr>
        <w:t xml:space="preserve">SSL VPN</w:t>
      </w:r>
    </w:p>
    <w:p>
      <w:pPr>
        <w:spacing w:after="70"/>
        <w:ind w:left="180"/>
      </w:pPr>
      <w:r>
        <w:rPr>
          <w:b/>
          <w:bCs/>
          <w:color w:val="1D3C5A"/>
          <w:sz w:val="20"/>
          <w:szCs w:val="20"/>
        </w:rPr>
        <w:t xml:space="preserve">Affected version status: </w:t>
      </w:r>
      <w:r>
        <w:rPr>
          <w:color w:val="17212B"/>
          <w:sz w:val="20"/>
          <w:szCs w:val="20"/>
        </w:rPr>
        <w:t xml:space="preserve">Affected</w:t>
      </w:r>
    </w:p>
    <w:p>
      <w:pPr>
        <w:spacing w:after="70"/>
        <w:ind w:left="180"/>
      </w:pPr>
      <w:r>
        <w:rPr>
          <w:b/>
          <w:bCs/>
          <w:color w:val="1D3C5A"/>
          <w:sz w:val="20"/>
          <w:szCs w:val="20"/>
        </w:rPr>
        <w:t xml:space="preserve">Affected feature status: </w:t>
      </w:r>
      <w:r>
        <w:rPr>
          <w:color w:val="17212B"/>
          <w:sz w:val="20"/>
          <w:szCs w:val="20"/>
        </w:rPr>
        <w:t xml:space="preserve">Disabled Unreviewed</w:t>
      </w:r>
    </w:p>
    <w:p>
      <w:pPr>
        <w:spacing w:after="70"/>
        <w:ind w:left="180"/>
      </w:pPr>
      <w:r>
        <w:rPr>
          <w:b/>
          <w:bCs/>
          <w:color w:val="1D3C5A"/>
          <w:sz w:val="20"/>
          <w:szCs w:val="20"/>
        </w:rPr>
        <w:t xml:space="preserve">Feature enabled status: </w:t>
      </w:r>
      <w:r>
        <w:rPr>
          <w:color w:val="17212B"/>
          <w:sz w:val="20"/>
          <w:szCs w:val="20"/>
        </w:rPr>
        <w:t xml:space="preserve">Disabled Unreviewed</w:t>
      </w:r>
    </w:p>
    <w:p>
      <w:pPr>
        <w:pStyle w:val="Heading2"/>
      </w:pPr>
      <w:r>
        <w:t xml:space="preserve">Exposure Assessment</w:t>
      </w:r>
    </w:p>
    <w:p>
      <w:pPr>
        <w:spacing w:after="70"/>
        <w:ind w:left="180"/>
      </w:pPr>
      <w:r>
        <w:rPr>
          <w:b/>
          <w:bCs/>
          <w:color w:val="1D3C5A"/>
          <w:sz w:val="20"/>
          <w:szCs w:val="20"/>
        </w:rPr>
        <w:t xml:space="preserve">Internet-facing: </w:t>
      </w:r>
      <w:r>
        <w:rPr>
          <w:color w:val="17212B"/>
          <w:sz w:val="20"/>
          <w:szCs w:val="20"/>
        </w:rPr>
        <w:t xml:space="preserve">Yes, source-bound pending review unless accepted</w:t>
      </w:r>
    </w:p>
    <w:p>
      <w:pPr>
        <w:spacing w:after="70"/>
        <w:ind w:left="180"/>
      </w:pPr>
      <w:r>
        <w:rPr>
          <w:b/>
          <w:bCs/>
          <w:color w:val="1D3C5A"/>
          <w:sz w:val="20"/>
          <w:szCs w:val="20"/>
        </w:rPr>
        <w:t xml:space="preserve">Management exposure: </w:t>
      </w:r>
      <w:r>
        <w:rPr>
          <w:color w:val="17212B"/>
          <w:sz w:val="20"/>
          <w:szCs w:val="20"/>
        </w:rPr>
        <w:t xml:space="preserve">Internet</w:t>
      </w:r>
    </w:p>
    <w:p>
      <w:pPr>
        <w:spacing w:after="70"/>
        <w:ind w:left="180"/>
      </w:pPr>
      <w:r>
        <w:rPr>
          <w:b/>
          <w:bCs/>
          <w:color w:val="1D3C5A"/>
          <w:sz w:val="20"/>
          <w:szCs w:val="20"/>
        </w:rPr>
        <w:t xml:space="preserve">Exposure status: </w:t>
      </w:r>
      <w:r>
        <w:rPr>
          <w:color w:val="17212B"/>
          <w:sz w:val="20"/>
          <w:szCs w:val="20"/>
        </w:rPr>
        <w:t xml:space="preserve">Internet Or Management Exposed</w:t>
      </w:r>
    </w:p>
    <w:p>
      <w:pPr>
        <w:pStyle w:val="Heading2"/>
      </w:pPr>
      <w:r>
        <w:t xml:space="preserve">Evidence Required to Prove Not Applicable</w:t>
      </w:r>
    </w:p>
    <w:p>
      <w:pPr>
        <w:spacing w:after="60" w:before="120"/>
      </w:pPr>
      <w:r>
        <w:rPr>
          <w:b/>
          <w:bCs/>
          <w:color w:val="1D3C5A"/>
          <w:sz w:val="22"/>
          <w:szCs w:val="22"/>
        </w:rPr>
        <w:t xml:space="preserve">Feature Disabled Review</w:t>
      </w:r>
    </w:p>
    <w:p>
      <w:pPr>
        <w:spacing w:after="70"/>
        <w:ind w:left="220"/>
      </w:pPr>
      <w:r>
        <w:rPr>
          <w:b/>
          <w:bCs/>
          <w:color w:val="1D3C5A"/>
          <w:sz w:val="20"/>
          <w:szCs w:val="20"/>
        </w:rPr>
        <w:t xml:space="preserve">Plain English gap: </w:t>
      </w:r>
      <w:r>
        <w:rPr>
          <w:color w:val="17212B"/>
          <w:sz w:val="20"/>
          <w:szCs w:val="20"/>
        </w:rPr>
        <w:t xml:space="preserve">SSL VPN is recorded as disabled, but that configuration evidence is not reviewed.</w:t>
      </w:r>
    </w:p>
    <w:p>
      <w:pPr>
        <w:spacing w:after="70"/>
        <w:ind w:left="220"/>
      </w:pPr>
      <w:r>
        <w:rPr>
          <w:b/>
          <w:bCs/>
          <w:color w:val="1D3C5A"/>
          <w:sz w:val="20"/>
          <w:szCs w:val="20"/>
        </w:rPr>
        <w:t xml:space="preserve">Why it matters: </w:t>
      </w:r>
      <w:r>
        <w:rPr>
          <w:color w:val="17212B"/>
          <w:sz w:val="20"/>
          <w:szCs w:val="20"/>
        </w:rPr>
        <w:t xml:space="preserve">PatchForge cannot support an accountable customer/CAB decision without reviewed evidence for this point.</w:t>
      </w:r>
    </w:p>
    <w:p>
      <w:pPr>
        <w:spacing w:after="70"/>
        <w:ind w:left="220"/>
      </w:pPr>
      <w:r>
        <w:rPr>
          <w:b/>
          <w:bCs/>
          <w:color w:val="1D3C5A"/>
          <w:sz w:val="20"/>
          <w:szCs w:val="20"/>
        </w:rPr>
        <w:t xml:space="preserve">Required evidence: </w:t>
      </w:r>
      <w:r>
        <w:rPr>
          <w:color w:val="17212B"/>
          <w:sz w:val="20"/>
          <w:szCs w:val="20"/>
        </w:rPr>
        <w:t xml:space="preserve">Reviewed configuration export, change record, service owner attestation, or device configuration evidence.</w:t>
      </w:r>
    </w:p>
    <w:p>
      <w:pPr>
        <w:spacing w:after="70"/>
        <w:ind w:left="220"/>
      </w:pPr>
      <w:r>
        <w:rPr>
          <w:b/>
          <w:bCs/>
          <w:color w:val="1D3C5A"/>
          <w:sz w:val="20"/>
          <w:szCs w:val="20"/>
        </w:rPr>
        <w:t xml:space="preserve">Suggested owner: </w:t>
      </w:r>
      <w:r>
        <w:rPr>
          <w:color w:val="17212B"/>
          <w:sz w:val="20"/>
          <w:szCs w:val="20"/>
        </w:rPr>
        <w:t xml:space="preserve">Network engineering lead</w:t>
      </w:r>
    </w:p>
    <w:p>
      <w:pPr>
        <w:spacing w:after="70"/>
        <w:ind w:left="220"/>
      </w:pPr>
      <w:r>
        <w:rPr>
          <w:b/>
          <w:bCs/>
          <w:color w:val="1D3C5A"/>
          <w:sz w:val="20"/>
          <w:szCs w:val="20"/>
        </w:rPr>
        <w:t xml:space="preserve">Next decision gate: </w:t>
      </w:r>
      <w:r>
        <w:rPr>
          <w:color w:val="17212B"/>
          <w:sz w:val="20"/>
          <w:szCs w:val="20"/>
        </w:rPr>
        <w:t xml:space="preserve">Configuration applicability review</w:t>
      </w:r>
    </w:p>
    <w:p>
      <w:pPr>
        <w:spacing w:after="60" w:before="120"/>
      </w:pPr>
      <w:r>
        <w:rPr>
          <w:b/>
          <w:bCs/>
          <w:color w:val="1D3C5A"/>
          <w:sz w:val="22"/>
          <w:szCs w:val="22"/>
        </w:rPr>
        <w:t xml:space="preserve">Advisory Source Review</w:t>
      </w:r>
    </w:p>
    <w:p>
      <w:pPr>
        <w:spacing w:after="70"/>
        <w:ind w:left="220"/>
      </w:pPr>
      <w:r>
        <w:rPr>
          <w:b/>
          <w:bCs/>
          <w:color w:val="1D3C5A"/>
          <w:sz w:val="20"/>
          <w:szCs w:val="20"/>
        </w:rPr>
        <w:t xml:space="preserve">Plain English gap: </w:t>
      </w:r>
      <w:r>
        <w:rPr>
          <w:color w:val="17212B"/>
          <w:sz w:val="20"/>
          <w:szCs w:val="20"/>
        </w:rPr>
        <w:t xml:space="preserve">The vendor/CVE source record has not been accepted as positive evidence.</w:t>
      </w:r>
    </w:p>
    <w:p>
      <w:pPr>
        <w:spacing w:after="70"/>
        <w:ind w:left="220"/>
      </w:pPr>
      <w:r>
        <w:rPr>
          <w:b/>
          <w:bCs/>
          <w:color w:val="1D3C5A"/>
          <w:sz w:val="20"/>
          <w:szCs w:val="20"/>
        </w:rPr>
        <w:t xml:space="preserve">Why it matters: </w:t>
      </w:r>
      <w:r>
        <w:rPr>
          <w:color w:val="17212B"/>
          <w:sz w:val="20"/>
          <w:szCs w:val="20"/>
        </w:rPr>
        <w:t xml:space="preserve">PatchForge cannot support an accountable customer/CAB decision without reviewed evidence for this point.</w:t>
      </w:r>
    </w:p>
    <w:p>
      <w:pPr>
        <w:spacing w:after="70"/>
        <w:ind w:left="220"/>
      </w:pPr>
      <w:r>
        <w:rPr>
          <w:b/>
          <w:bCs/>
          <w:color w:val="1D3C5A"/>
          <w:sz w:val="20"/>
          <w:szCs w:val="20"/>
        </w:rPr>
        <w:t xml:space="preserve">Required evidence: </w:t>
      </w:r>
      <w:r>
        <w:rPr>
          <w:color w:val="17212B"/>
          <w:sz w:val="20"/>
          <w:szCs w:val="20"/>
        </w:rPr>
        <w:t xml:space="preserve">Named reviewer event accepting the source record, affected versions, affected feature, and source provenance.</w:t>
      </w:r>
    </w:p>
    <w:p>
      <w:pPr>
        <w:spacing w:after="70"/>
        <w:ind w:left="220"/>
      </w:pPr>
      <w:r>
        <w:rPr>
          <w:b/>
          <w:bCs/>
          <w:color w:val="1D3C5A"/>
          <w:sz w:val="20"/>
          <w:szCs w:val="20"/>
        </w:rPr>
        <w:t xml:space="preserve">Suggested owner: </w:t>
      </w:r>
      <w:r>
        <w:rPr>
          <w:color w:val="17212B"/>
          <w:sz w:val="20"/>
          <w:szCs w:val="20"/>
        </w:rPr>
        <w:t xml:space="preserve">Security lead</w:t>
      </w:r>
    </w:p>
    <w:p>
      <w:pPr>
        <w:spacing w:after="70"/>
        <w:ind w:left="220"/>
      </w:pPr>
      <w:r>
        <w:rPr>
          <w:b/>
          <w:bCs/>
          <w:color w:val="1D3C5A"/>
          <w:sz w:val="20"/>
          <w:szCs w:val="20"/>
        </w:rPr>
        <w:t xml:space="preserve">Next decision gate: </w:t>
      </w:r>
      <w:r>
        <w:rPr>
          <w:color w:val="17212B"/>
          <w:sz w:val="20"/>
          <w:szCs w:val="20"/>
        </w:rPr>
        <w:t xml:space="preserve">Source review</w:t>
      </w:r>
    </w:p>
    <w:p>
      <w:pPr>
        <w:pStyle w:val="Heading2"/>
      </w:pPr>
      <w:r>
        <w:t xml:space="preserve">Urgent Patch / Mitigation / Scope Confirmation Recommendation</w:t>
      </w:r>
    </w:p>
    <w:p>
      <w:pPr>
        <w:spacing w:after="120"/>
      </w:pPr>
      <w:r>
        <w:t xml:space="preserve">Confirm vendor advisory source, customer asset, firmware, feature, and exposure evidence.</w:t>
      </w:r>
    </w:p>
    <w:p>
      <w:pPr>
        <w:pStyle w:val="Heading2"/>
      </w:pPr>
      <w:r>
        <w:t xml:space="preserve">SRA/AIP Chat Summary</w:t>
      </w:r>
    </w:p>
    <w:p>
      <w:pPr>
        <w:spacing w:after="70"/>
        <w:ind w:left="180"/>
      </w:pPr>
      <w:r>
        <w:rPr>
          <w:b/>
          <w:bCs/>
          <w:color w:val="1D3C5A"/>
          <w:sz w:val="20"/>
          <w:szCs w:val="20"/>
        </w:rPr>
        <w:t xml:space="preserve">Session: </w:t>
      </w:r>
      <w:r>
        <w:rPr>
          <w:color w:val="17212B"/>
          <w:sz w:val="20"/>
          <w:szCs w:val="20"/>
        </w:rPr>
        <w:t xml:space="preserve">pfaz9a-val-chat-923b386</w:t>
      </w:r>
    </w:p>
    <w:p>
      <w:pPr>
        <w:spacing w:after="70"/>
        <w:ind w:left="180"/>
      </w:pPr>
      <w:r>
        <w:rPr>
          <w:b/>
          <w:bCs/>
          <w:color w:val="1D3C5A"/>
          <w:sz w:val="20"/>
          <w:szCs w:val="20"/>
        </w:rPr>
        <w:t xml:space="preserve">Short answer: </w:t>
      </w:r>
      <w:r>
        <w:rPr>
          <w:color w:val="17212B"/>
          <w:sz w:val="20"/>
          <w:szCs w:val="20"/>
        </w:rPr>
        <w:t xml:space="preserve">PatchForge cannot safely declare this configuration unaffected yet; complete scope and configuration evidence review first.</w:t>
      </w:r>
    </w:p>
    <w:p>
      <w:pPr>
        <w:spacing w:after="70"/>
        <w:ind w:left="180"/>
      </w:pPr>
      <w:r>
        <w:rPr>
          <w:b/>
          <w:bCs/>
          <w:color w:val="1D3C5A"/>
          <w:sz w:val="20"/>
          <w:szCs w:val="20"/>
        </w:rPr>
        <w:t xml:space="preserve">Governed posture: </w:t>
      </w:r>
      <w:r>
        <w:rPr>
          <w:color w:val="17212B"/>
          <w:sz w:val="20"/>
          <w:szCs w:val="20"/>
        </w:rPr>
        <w:t xml:space="preserve">Urgent Scope Confirmation Required</w:t>
      </w:r>
    </w:p>
    <w:p>
      <w:pPr>
        <w:spacing w:after="70"/>
        <w:ind w:left="180"/>
      </w:pPr>
      <w:r>
        <w:rPr>
          <w:b/>
          <w:bCs/>
          <w:color w:val="1D3C5A"/>
          <w:sz w:val="20"/>
          <w:szCs w:val="20"/>
        </w:rPr>
        <w:t xml:space="preserve">Decision not allowed yet: </w:t>
      </w:r>
      <w:r>
        <w:rPr>
          <w:color w:val="17212B"/>
          <w:sz w:val="20"/>
          <w:szCs w:val="20"/>
        </w:rPr>
        <w:t xml:space="preserve">Final remediation, risk acceptance, closure, and not-applicable decisions cannot be issued until the evidence gaps are resolved and a human reviewer approves the outcome.</w:t>
      </w:r>
    </w:p>
    <w:p>
      <w:pPr>
        <w:pStyle w:val="Heading1"/>
      </w:pPr>
      <w:r>
        <w:t xml:space="preserve">Patch Version Comparison for CISO Review</w:t>
      </w:r>
    </w:p>
    <w:p>
      <w:pPr>
        <w:spacing w:after="120"/>
      </w:pPr>
      <w:r>
        <w:t xml:space="preserve">This section compares the recorded device firmware or patch level with the source-bound remediating version. It is prepared for CISO/CAB review and does not deploy or approve a patch.</w:t>
      </w:r>
    </w:p>
    <w:p>
      <w:pPr>
        <w:spacing w:after="70"/>
        <w:ind w:left="180"/>
      </w:pPr>
      <w:r>
        <w:rPr>
          <w:b/>
          <w:bCs/>
          <w:color w:val="1D3C5A"/>
          <w:sz w:val="20"/>
          <w:szCs w:val="20"/>
        </w:rPr>
        <w:t xml:space="preserve">Vendor: </w:t>
      </w:r>
      <w:r>
        <w:rPr>
          <w:color w:val="17212B"/>
          <w:sz w:val="20"/>
          <w:szCs w:val="20"/>
        </w:rPr>
        <w:t xml:space="preserve">Fortinet</w:t>
      </w:r>
    </w:p>
    <w:p>
      <w:pPr>
        <w:spacing w:after="70"/>
        <w:ind w:left="180"/>
      </w:pPr>
      <w:r>
        <w:rPr>
          <w:b/>
          <w:bCs/>
          <w:color w:val="1D3C5A"/>
          <w:sz w:val="20"/>
          <w:szCs w:val="20"/>
        </w:rPr>
        <w:t xml:space="preserve">Asset: </w:t>
      </w:r>
      <w:r>
        <w:rPr>
          <w:color w:val="17212B"/>
          <w:sz w:val="20"/>
          <w:szCs w:val="20"/>
        </w:rPr>
        <w:t xml:space="preserve">pfaz9a-val-fortigate-100f-923b386</w:t>
      </w:r>
    </w:p>
    <w:p>
      <w:pPr>
        <w:spacing w:after="70"/>
        <w:ind w:left="180"/>
      </w:pPr>
      <w:r>
        <w:rPr>
          <w:b/>
          <w:bCs/>
          <w:color w:val="1D3C5A"/>
          <w:sz w:val="20"/>
          <w:szCs w:val="20"/>
        </w:rPr>
        <w:t xml:space="preserve">Advisory / CVE: </w:t>
      </w:r>
      <w:r>
        <w:rPr>
          <w:color w:val="17212B"/>
          <w:sz w:val="20"/>
          <w:szCs w:val="20"/>
        </w:rPr>
        <w:t xml:space="preserve">CVE-2026-923386</w:t>
      </w:r>
    </w:p>
    <w:p>
      <w:pPr>
        <w:spacing w:after="70"/>
        <w:ind w:left="180"/>
      </w:pPr>
      <w:r>
        <w:rPr>
          <w:b/>
          <w:bCs/>
          <w:color w:val="1D3C5A"/>
          <w:sz w:val="20"/>
          <w:szCs w:val="20"/>
        </w:rPr>
        <w:t xml:space="preserve">Current version: </w:t>
      </w:r>
      <w:r>
        <w:rPr>
          <w:color w:val="17212B"/>
          <w:sz w:val="20"/>
          <w:szCs w:val="20"/>
        </w:rPr>
        <w:t xml:space="preserve">7.2.7</w:t>
      </w:r>
    </w:p>
    <w:p>
      <w:pPr>
        <w:spacing w:after="70"/>
        <w:ind w:left="180"/>
      </w:pPr>
      <w:r>
        <w:rPr>
          <w:b/>
          <w:bCs/>
          <w:color w:val="1D3C5A"/>
          <w:sz w:val="20"/>
          <w:szCs w:val="20"/>
        </w:rPr>
        <w:t xml:space="preserve">Target / fixed version: </w:t>
      </w:r>
      <w:r>
        <w:rPr>
          <w:color w:val="17212B"/>
          <w:sz w:val="20"/>
          <w:szCs w:val="20"/>
        </w:rPr>
        <w:t xml:space="preserve">7.2.8</w:t>
      </w:r>
    </w:p>
    <w:p>
      <w:pPr>
        <w:spacing w:after="70"/>
        <w:ind w:left="180"/>
      </w:pPr>
      <w:r>
        <w:rPr>
          <w:b/>
          <w:bCs/>
          <w:color w:val="1D3C5A"/>
          <w:sz w:val="20"/>
          <w:szCs w:val="20"/>
        </w:rPr>
        <w:t xml:space="preserve">Current version status: </w:t>
      </w:r>
      <w:r>
        <w:rPr>
          <w:color w:val="17212B"/>
          <w:sz w:val="20"/>
          <w:szCs w:val="20"/>
        </w:rPr>
        <w:t xml:space="preserve">Current Version Not Listed As Affected Pending Review</w:t>
      </w:r>
    </w:p>
    <w:p>
      <w:pPr>
        <w:spacing w:after="70"/>
        <w:ind w:left="180"/>
      </w:pPr>
      <w:r>
        <w:rPr>
          <w:b/>
          <w:bCs/>
          <w:color w:val="1D3C5A"/>
          <w:sz w:val="20"/>
          <w:szCs w:val="20"/>
        </w:rPr>
        <w:t xml:space="preserve">Target version status: </w:t>
      </w:r>
      <w:r>
        <w:rPr>
          <w:color w:val="17212B"/>
          <w:sz w:val="20"/>
          <w:szCs w:val="20"/>
        </w:rPr>
        <w:t xml:space="preserve">Target Version Recorded As Fixed Pending Review</w:t>
      </w:r>
    </w:p>
    <w:p>
      <w:pPr>
        <w:spacing w:after="70"/>
        <w:ind w:left="180"/>
      </w:pPr>
      <w:r>
        <w:rPr>
          <w:b/>
          <w:bCs/>
          <w:color w:val="1D3C5A"/>
          <w:sz w:val="20"/>
          <w:szCs w:val="20"/>
        </w:rPr>
        <w:t xml:space="preserve">Final approval: </w:t>
      </w:r>
      <w:r>
        <w:rPr>
          <w:color w:val="17212B"/>
          <w:sz w:val="20"/>
          <w:szCs w:val="20"/>
        </w:rPr>
        <w:t xml:space="preserve">Not issued</w:t>
      </w:r>
    </w:p>
    <w:p>
      <w:pPr>
        <w:pStyle w:val="Heading2"/>
      </w:pPr>
      <w:r>
        <w:t xml:space="preserve">Security Delta</w:t>
      </w:r>
    </w:p>
    <w:p>
      <w:pPr>
        <w:spacing w:after="120"/>
      </w:pPr>
      <w:r>
        <w:t xml:space="preserve">The target version is recorded by the source advisory as the remediating or fixed branch for: Temporary live validation advisory for checking VendorLens applicability, report stamping, pack export, and cleanup. This is source-bound pending review and must not be treated as approved evidence.</w:t>
      </w:r>
    </w:p>
    <w:p>
      <w:pPr>
        <w:pStyle w:val="Heading2"/>
      </w:pPr>
      <w:r>
        <w:t xml:space="preserve">Operational Delta and Evidence Required</w:t>
      </w:r>
    </w:p>
    <w:p>
      <w:pPr>
        <w:pStyle w:val="ListParagraph"/>
        <w:numPr>
          <w:ilvl w:val="0"/>
          <w:numId w:val="1"/>
        </w:numPr>
        <w:spacing w:after="80"/>
      </w:pPr>
      <w:r>
        <w:rPr>
          <w:color w:val="17212B"/>
          <w:sz w:val="20"/>
          <w:szCs w:val="20"/>
        </w:rPr>
        <w:t xml:space="preserve">Confirm vendor release notes, fixed-version applicability, configuration dependencies, HA/cluster impact, and rollback support before approval.</w:t>
      </w:r>
    </w:p>
    <w:p>
      <w:pPr>
        <w:pStyle w:val="ListParagraph"/>
        <w:numPr>
          <w:ilvl w:val="0"/>
          <w:numId w:val="1"/>
        </w:numPr>
        <w:spacing w:after="80"/>
      </w:pPr>
      <w:r>
        <w:rPr>
          <w:color w:val="17212B"/>
          <w:sz w:val="20"/>
          <w:szCs w:val="20"/>
        </w:rPr>
        <w:t xml:space="preserve">PatchForge records the comparison for CISO/CAB review only; it does not deploy or approve the change.</w:t>
      </w:r>
    </w:p>
    <w:p>
      <w:pPr>
        <w:pStyle w:val="ListParagraph"/>
        <w:numPr>
          <w:ilvl w:val="0"/>
          <w:numId w:val="1"/>
        </w:numPr>
        <w:spacing w:after="80"/>
      </w:pPr>
      <w:r>
        <w:rPr>
          <w:color w:val="17212B"/>
          <w:sz w:val="20"/>
          <w:szCs w:val="20"/>
        </w:rPr>
        <w:t xml:space="preserve">Evidence required: Reviewed vendor advisory and release notes</w:t>
      </w:r>
    </w:p>
    <w:p>
      <w:pPr>
        <w:pStyle w:val="ListParagraph"/>
        <w:numPr>
          <w:ilvl w:val="0"/>
          <w:numId w:val="1"/>
        </w:numPr>
        <w:spacing w:after="80"/>
      </w:pPr>
      <w:r>
        <w:rPr>
          <w:color w:val="17212B"/>
          <w:sz w:val="20"/>
          <w:szCs w:val="20"/>
        </w:rPr>
        <w:t xml:space="preserve">Evidence required: Current device firmware/version evidence</w:t>
      </w:r>
    </w:p>
    <w:p>
      <w:pPr>
        <w:pStyle w:val="ListParagraph"/>
        <w:numPr>
          <w:ilvl w:val="0"/>
          <w:numId w:val="1"/>
        </w:numPr>
        <w:spacing w:after="80"/>
      </w:pPr>
      <w:r>
        <w:rPr>
          <w:color w:val="17212B"/>
          <w:sz w:val="20"/>
          <w:szCs w:val="20"/>
        </w:rPr>
        <w:t xml:space="preserve">Evidence required: Target version or fixed-version evidence</w:t>
      </w:r>
    </w:p>
    <w:p>
      <w:pPr>
        <w:pStyle w:val="ListParagraph"/>
        <w:numPr>
          <w:ilvl w:val="0"/>
          <w:numId w:val="1"/>
        </w:numPr>
        <w:spacing w:after="80"/>
      </w:pPr>
      <w:r>
        <w:rPr>
          <w:color w:val="17212B"/>
          <w:sz w:val="20"/>
          <w:szCs w:val="20"/>
        </w:rPr>
        <w:t xml:space="preserve">Evidence required: Affected feature configuration evidence</w:t>
      </w:r>
    </w:p>
    <w:p>
      <w:pPr>
        <w:pStyle w:val="ListParagraph"/>
        <w:numPr>
          <w:ilvl w:val="0"/>
          <w:numId w:val="1"/>
        </w:numPr>
        <w:spacing w:after="80"/>
      </w:pPr>
      <w:r>
        <w:rPr>
          <w:color w:val="17212B"/>
          <w:sz w:val="20"/>
          <w:szCs w:val="20"/>
        </w:rPr>
        <w:t xml:space="preserve">Evidence required: Testing evidence and rollback plan</w:t>
      </w:r>
    </w:p>
    <w:p>
      <w:pPr>
        <w:pStyle w:val="Heading2"/>
      </w:pPr>
      <w:r>
        <w:t xml:space="preserve">CISO Summary</w:t>
      </w:r>
    </w:p>
    <w:p>
      <w:pPr>
        <w:spacing w:after="120"/>
      </w:pPr>
      <w:r>
        <w:t xml:space="preserve">Current version 7.2.7 is compared with target version 7.2.8. The target is recorded as a fixed version in source-bound advisory data, pending review. Final approval has not been issued.</w:t>
      </w:r>
    </w:p>
    <w:p>
      <w:pPr>
        <w:pStyle w:val="Heading1"/>
      </w:pPr>
      <w:r>
        <w:t xml:space="preserve">Blockers and Required Human Actions</w:t>
      </w:r>
    </w:p>
    <w:p>
      <w:pPr>
        <w:spacing w:after="60" w:before="120"/>
      </w:pPr>
      <w:r>
        <w:rPr>
          <w:b/>
          <w:bCs/>
          <w:color w:val="1D3C5A"/>
          <w:sz w:val="22"/>
          <w:szCs w:val="22"/>
        </w:rPr>
        <w:t xml:space="preserve">Reviewed Vulnerability Identity Evidence</w:t>
      </w:r>
    </w:p>
    <w:p>
      <w:pPr>
        <w:spacing w:after="70"/>
        <w:ind w:left="220"/>
      </w:pPr>
      <w:r>
        <w:rPr>
          <w:b/>
          <w:bCs/>
          <w:color w:val="1D3C5A"/>
          <w:sz w:val="20"/>
          <w:szCs w:val="20"/>
        </w:rPr>
        <w:t xml:space="preserve">Owner: </w:t>
      </w:r>
      <w:r>
        <w:rPr>
          <w:color w:val="17212B"/>
          <w:sz w:val="20"/>
          <w:szCs w:val="20"/>
        </w:rPr>
        <w:t xml:space="preserve">Security lead or vulnerability manager</w:t>
      </w:r>
    </w:p>
    <w:p>
      <w:pPr>
        <w:spacing w:after="70"/>
        <w:ind w:left="220"/>
      </w:pPr>
      <w:r>
        <w:rPr>
          <w:b/>
          <w:bCs/>
          <w:color w:val="1D3C5A"/>
          <w:sz w:val="20"/>
          <w:szCs w:val="20"/>
        </w:rPr>
        <w:t xml:space="preserve">Required outcome: </w:t>
      </w:r>
      <w:r>
        <w:rPr>
          <w:color w:val="17212B"/>
          <w:sz w:val="20"/>
          <w:szCs w:val="20"/>
        </w:rPr>
        <w:t xml:space="preserve">Reviewed CISA/CVE/vendor advisory record confirming CVE, product, affected versions, and source provenance.</w:t>
      </w:r>
    </w:p>
    <w:p>
      <w:pPr>
        <w:spacing w:after="70"/>
        <w:ind w:left="220"/>
      </w:pPr>
      <w:r>
        <w:rPr>
          <w:b/>
          <w:bCs/>
          <w:color w:val="1D3C5A"/>
          <w:sz w:val="20"/>
          <w:szCs w:val="20"/>
        </w:rPr>
        <w:t xml:space="preserve">Next gate: </w:t>
      </w:r>
      <w:r>
        <w:rPr>
          <w:color w:val="17212B"/>
          <w:sz w:val="20"/>
          <w:szCs w:val="20"/>
        </w:rPr>
        <w:t xml:space="preserve">Source identity review</w:t>
      </w:r>
    </w:p>
    <w:p>
      <w:pPr>
        <w:spacing w:after="60" w:before="120"/>
      </w:pPr>
      <w:r>
        <w:rPr>
          <w:b/>
          <w:bCs/>
          <w:color w:val="1D3C5A"/>
          <w:sz w:val="22"/>
          <w:szCs w:val="22"/>
        </w:rPr>
        <w:t xml:space="preserve">Affected Asset Scope</w:t>
      </w:r>
    </w:p>
    <w:p>
      <w:pPr>
        <w:spacing w:after="70"/>
        <w:ind w:left="220"/>
      </w:pPr>
      <w:r>
        <w:rPr>
          <w:b/>
          <w:bCs/>
          <w:color w:val="1D3C5A"/>
          <w:sz w:val="20"/>
          <w:szCs w:val="20"/>
        </w:rPr>
        <w:t xml:space="preserve">Owner: </w:t>
      </w:r>
      <w:r>
        <w:rPr>
          <w:color w:val="17212B"/>
          <w:sz w:val="20"/>
          <w:szCs w:val="20"/>
        </w:rPr>
        <w:t xml:space="preserve">Asset owner or infrastructure lead</w:t>
      </w:r>
    </w:p>
    <w:p>
      <w:pPr>
        <w:spacing w:after="70"/>
        <w:ind w:left="220"/>
      </w:pPr>
      <w:r>
        <w:rPr>
          <w:b/>
          <w:bCs/>
          <w:color w:val="1D3C5A"/>
          <w:sz w:val="20"/>
          <w:szCs w:val="20"/>
        </w:rPr>
        <w:t xml:space="preserve">Required outcome: </w:t>
      </w:r>
      <w:r>
        <w:rPr>
          <w:color w:val="17212B"/>
          <w:sz w:val="20"/>
          <w:szCs w:val="20"/>
        </w:rPr>
        <w:t xml:space="preserve">CMDB, hosting control panel inventory, scanner output, asset owner confirmation.</w:t>
      </w:r>
    </w:p>
    <w:p>
      <w:pPr>
        <w:spacing w:after="70"/>
        <w:ind w:left="220"/>
      </w:pPr>
      <w:r>
        <w:rPr>
          <w:b/>
          <w:bCs/>
          <w:color w:val="1D3C5A"/>
          <w:sz w:val="20"/>
          <w:szCs w:val="20"/>
        </w:rPr>
        <w:t xml:space="preserve">Next gate: </w:t>
      </w:r>
      <w:r>
        <w:rPr>
          <w:color w:val="17212B"/>
          <w:sz w:val="20"/>
          <w:szCs w:val="20"/>
        </w:rPr>
        <w:t xml:space="preserve">Asset exposure confirmation</w:t>
      </w:r>
    </w:p>
    <w:p>
      <w:pPr>
        <w:spacing w:after="60" w:before="120"/>
      </w:pPr>
      <w:r>
        <w:rPr>
          <w:b/>
          <w:bCs/>
          <w:color w:val="1D3C5A"/>
          <w:sz w:val="22"/>
          <w:szCs w:val="22"/>
        </w:rPr>
        <w:t xml:space="preserve">Business Service Impact</w:t>
      </w:r>
    </w:p>
    <w:p>
      <w:pPr>
        <w:spacing w:after="70"/>
        <w:ind w:left="220"/>
      </w:pPr>
      <w:r>
        <w:rPr>
          <w:b/>
          <w:bCs/>
          <w:color w:val="1D3C5A"/>
          <w:sz w:val="20"/>
          <w:szCs w:val="20"/>
        </w:rPr>
        <w:t xml:space="preserve">Owner: </w:t>
      </w:r>
      <w:r>
        <w:rPr>
          <w:color w:val="17212B"/>
          <w:sz w:val="20"/>
          <w:szCs w:val="20"/>
        </w:rPr>
        <w:t xml:space="preserve">Service owner</w:t>
      </w:r>
    </w:p>
    <w:p>
      <w:pPr>
        <w:spacing w:after="70"/>
        <w:ind w:left="220"/>
      </w:pPr>
      <w:r>
        <w:rPr>
          <w:b/>
          <w:bCs/>
          <w:color w:val="1D3C5A"/>
          <w:sz w:val="20"/>
          <w:szCs w:val="20"/>
        </w:rPr>
        <w:t xml:space="preserve">Required outcome: </w:t>
      </w:r>
      <w:r>
        <w:rPr>
          <w:color w:val="17212B"/>
          <w:sz w:val="20"/>
          <w:szCs w:val="20"/>
        </w:rPr>
        <w:t xml:space="preserve">Service map, customer-facing flag, SLA/OLA impact, service owner.</w:t>
      </w:r>
    </w:p>
    <w:p>
      <w:pPr>
        <w:spacing w:after="70"/>
        <w:ind w:left="220"/>
      </w:pPr>
      <w:r>
        <w:rPr>
          <w:b/>
          <w:bCs/>
          <w:color w:val="1D3C5A"/>
          <w:sz w:val="20"/>
          <w:szCs w:val="20"/>
        </w:rPr>
        <w:t xml:space="preserve">Next gate: </w:t>
      </w:r>
      <w:r>
        <w:rPr>
          <w:color w:val="17212B"/>
          <w:sz w:val="20"/>
          <w:szCs w:val="20"/>
        </w:rPr>
        <w:t xml:space="preserve">Business impact review</w:t>
      </w:r>
    </w:p>
    <w:p>
      <w:pPr>
        <w:spacing w:after="60" w:before="120"/>
      </w:pPr>
      <w:r>
        <w:rPr>
          <w:b/>
          <w:bCs/>
          <w:color w:val="1D3C5A"/>
          <w:sz w:val="22"/>
          <w:szCs w:val="22"/>
        </w:rPr>
        <w:t xml:space="preserve">Human Source Review Event</w:t>
      </w:r>
    </w:p>
    <w:p>
      <w:pPr>
        <w:spacing w:after="70"/>
        <w:ind w:left="220"/>
      </w:pPr>
      <w:r>
        <w:rPr>
          <w:b/>
          <w:bCs/>
          <w:color w:val="1D3C5A"/>
          <w:sz w:val="20"/>
          <w:szCs w:val="20"/>
        </w:rPr>
        <w:t xml:space="preserve">Owner: </w:t>
      </w:r>
      <w:r>
        <w:rPr>
          <w:color w:val="17212B"/>
          <w:sz w:val="20"/>
          <w:szCs w:val="20"/>
        </w:rPr>
        <w:t xml:space="preserve">Security lead or CAB reviewer</w:t>
      </w:r>
    </w:p>
    <w:p>
      <w:pPr>
        <w:spacing w:after="70"/>
        <w:ind w:left="220"/>
      </w:pPr>
      <w:r>
        <w:rPr>
          <w:b/>
          <w:bCs/>
          <w:color w:val="1D3C5A"/>
          <w:sz w:val="20"/>
          <w:szCs w:val="20"/>
        </w:rPr>
        <w:t xml:space="preserve">Required outcome: </w:t>
      </w:r>
      <w:r>
        <w:rPr>
          <w:color w:val="17212B"/>
          <w:sz w:val="20"/>
          <w:szCs w:val="20"/>
        </w:rPr>
        <w:t xml:space="preserve">Named reviewer decision accepting or rejecting source records.</w:t>
      </w:r>
    </w:p>
    <w:p>
      <w:pPr>
        <w:spacing w:after="70"/>
        <w:ind w:left="220"/>
      </w:pPr>
      <w:r>
        <w:rPr>
          <w:b/>
          <w:bCs/>
          <w:color w:val="1D3C5A"/>
          <w:sz w:val="20"/>
          <w:szCs w:val="20"/>
        </w:rPr>
        <w:t xml:space="preserve">Next gate: </w:t>
      </w:r>
      <w:r>
        <w:rPr>
          <w:color w:val="17212B"/>
          <w:sz w:val="20"/>
          <w:szCs w:val="20"/>
        </w:rPr>
        <w:t xml:space="preserve">Human evidence review</w:t>
      </w:r>
    </w:p>
    <w:p>
      <w:pPr>
        <w:spacing w:after="60" w:before="120"/>
      </w:pPr>
      <w:r>
        <w:rPr>
          <w:b/>
          <w:bCs/>
          <w:color w:val="1D3C5A"/>
          <w:sz w:val="22"/>
          <w:szCs w:val="22"/>
        </w:rPr>
        <w:t xml:space="preserve">Human approval</w:t>
      </w:r>
    </w:p>
    <w:p>
      <w:pPr>
        <w:spacing w:after="70"/>
        <w:ind w:left="220"/>
      </w:pPr>
      <w:r>
        <w:rPr>
          <w:b/>
          <w:bCs/>
          <w:color w:val="1D3C5A"/>
          <w:sz w:val="20"/>
          <w:szCs w:val="20"/>
        </w:rPr>
        <w:t xml:space="preserve">Owner: </w:t>
      </w:r>
      <w:r>
        <w:rPr>
          <w:color w:val="17212B"/>
          <w:sz w:val="20"/>
          <w:szCs w:val="20"/>
        </w:rPr>
        <w:t xml:space="preserve">CAB / security lead</w:t>
      </w:r>
    </w:p>
    <w:p>
      <w:pPr>
        <w:spacing w:after="70"/>
        <w:ind w:left="220"/>
      </w:pPr>
      <w:r>
        <w:rPr>
          <w:b/>
          <w:bCs/>
          <w:color w:val="1D3C5A"/>
          <w:sz w:val="20"/>
          <w:szCs w:val="20"/>
        </w:rPr>
        <w:t xml:space="preserve">Required outcome: </w:t>
      </w:r>
      <w:r>
        <w:rPr>
          <w:color w:val="17212B"/>
          <w:sz w:val="20"/>
          <w:szCs w:val="20"/>
        </w:rPr>
        <w:t xml:space="preserve">Explicit approval remains required</w:t>
      </w:r>
    </w:p>
    <w:p>
      <w:pPr>
        <w:pStyle w:val="Heading1"/>
      </w:pPr>
      <w:r>
        <w:t xml:space="preserve">Automated Governance Analysis Completed</w:t>
      </w:r>
    </w:p>
    <w:p>
      <w:pPr>
        <w:pBdr>
          <w:left w:val="single" w:color="B7791F" w:sz="16"/>
        </w:pBdr>
        <w:shd w:fill="FFF6E4" w:val="clear"/>
        <w:spacing w:after="180" w:before="80"/>
        <w:ind w:left="160"/>
      </w:pPr>
      <w:r>
        <w:rPr>
          <w:b/>
          <w:bCs/>
          <w:color w:val="17212B"/>
        </w:rPr>
        <w:t xml:space="preserve">Human approval remains required. PatchForge does not approve CAB decisions, risk acceptance, patch deployment, or closure autonomously.</w:t>
      </w:r>
    </w:p>
    <w:p>
      <w:pPr>
        <w:pStyle w:val="ListParagraph"/>
        <w:numPr>
          <w:ilvl w:val="0"/>
          <w:numId w:val="1"/>
        </w:numPr>
        <w:spacing w:after="80"/>
      </w:pPr>
      <w:r>
        <w:rPr>
          <w:color w:val="17212B"/>
          <w:sz w:val="20"/>
          <w:szCs w:val="20"/>
        </w:rPr>
        <w:t xml:space="preserve">Normalised finding identity</w:t>
      </w:r>
    </w:p>
    <w:p>
      <w:pPr>
        <w:pStyle w:val="ListParagraph"/>
        <w:numPr>
          <w:ilvl w:val="0"/>
          <w:numId w:val="1"/>
        </w:numPr>
        <w:spacing w:after="80"/>
      </w:pPr>
      <w:r>
        <w:rPr>
          <w:color w:val="17212B"/>
          <w:sz w:val="20"/>
          <w:szCs w:val="20"/>
        </w:rPr>
        <w:t xml:space="preserve">Bound source provenance</w:t>
      </w:r>
    </w:p>
    <w:p>
      <w:pPr>
        <w:pStyle w:val="ListParagraph"/>
        <w:numPr>
          <w:ilvl w:val="0"/>
          <w:numId w:val="1"/>
        </w:numPr>
        <w:spacing w:after="80"/>
      </w:pPr>
      <w:r>
        <w:rPr>
          <w:color w:val="17212B"/>
          <w:sz w:val="20"/>
          <w:szCs w:val="20"/>
        </w:rPr>
        <w:t xml:space="preserve">Applied governance boundary</w:t>
      </w:r>
    </w:p>
    <w:p>
      <w:pPr>
        <w:pStyle w:val="ListParagraph"/>
        <w:numPr>
          <w:ilvl w:val="0"/>
          <w:numId w:val="1"/>
        </w:numPr>
        <w:spacing w:after="80"/>
      </w:pPr>
      <w:r>
        <w:rPr>
          <w:color w:val="17212B"/>
          <w:sz w:val="20"/>
          <w:szCs w:val="20"/>
        </w:rPr>
        <w:t xml:space="preserve">Generated Bayesian advisory snapshot</w:t>
      </w:r>
    </w:p>
    <w:p>
      <w:pPr>
        <w:pStyle w:val="ListParagraph"/>
        <w:numPr>
          <w:ilvl w:val="0"/>
          <w:numId w:val="1"/>
        </w:numPr>
        <w:spacing w:after="80"/>
      </w:pPr>
      <w:r>
        <w:rPr>
          <w:color w:val="17212B"/>
          <w:sz w:val="20"/>
          <w:szCs w:val="20"/>
        </w:rPr>
        <w:t xml:space="preserve">Recorded live source-feed refresh history</w:t>
      </w:r>
    </w:p>
    <w:p>
      <w:pPr>
        <w:pStyle w:val="Heading1"/>
      </w:pPr>
      <w:r>
        <w:t xml:space="preserve">Human Decisions Still Required</w:t>
      </w:r>
    </w:p>
    <w:p>
      <w:pPr>
        <w:pStyle w:val="ListParagraph"/>
        <w:numPr>
          <w:ilvl w:val="0"/>
          <w:numId w:val="1"/>
        </w:numPr>
        <w:spacing w:after="80"/>
      </w:pPr>
      <w:r>
        <w:rPr>
          <w:color w:val="17212B"/>
          <w:sz w:val="20"/>
          <w:szCs w:val="20"/>
        </w:rPr>
        <w:t xml:space="preserve">Review or attach missing evidence: Reviewed vulnerability identity evidence, Affected asset scope, Business service impact, Human source review event.</w:t>
      </w:r>
    </w:p>
    <w:p>
      <w:pPr>
        <w:pStyle w:val="ListParagraph"/>
        <w:numPr>
          <w:ilvl w:val="0"/>
          <w:numId w:val="1"/>
        </w:numPr>
        <w:spacing w:after="80"/>
      </w:pPr>
      <w:r>
        <w:rPr>
          <w:color w:val="17212B"/>
          <w:sz w:val="20"/>
          <w:szCs w:val="20"/>
        </w:rPr>
        <w:t xml:space="preserve">Issue or withhold CAB/security/service-owner approval. PatchForge will not approve automatically.</w:t>
      </w:r>
    </w:p>
    <w:p>
      <w:pPr>
        <w:pStyle w:val="Heading1"/>
      </w:pPr>
      <w:r>
        <w:t xml:space="preserve">Source-Pack and Current-State Separation</w:t>
      </w:r>
    </w:p>
    <w:p>
      <w:pPr>
        <w:spacing w:after="120"/>
      </w:pPr>
      <w:r>
        <w:t xml:space="preserve">The signed source pack preserves the compiled evidence state at generation time. Current-state overlays, post-pack evidence events, human approvals, and later reviews must be recorded as separate accountable events.</w:t>
      </w:r>
    </w:p>
    <w:p>
      <w:pPr>
        <w:pStyle w:val="Heading1"/>
      </w:pPr>
      <w:r>
        <w:t xml:space="preserve">Decision Boundary</w:t>
      </w:r>
    </w:p>
    <w:p>
      <w:pPr>
        <w:pBdr>
          <w:left w:val="single" w:color="B7791F" w:sz="16"/>
        </w:pBdr>
        <w:shd w:fill="FFF6E4" w:val="clear"/>
        <w:spacing w:after="180" w:before="80"/>
        <w:ind w:left="160"/>
      </w:pPr>
      <w:r>
        <w:rPr>
          <w:b/>
          <w:bCs/>
          <w:color w:val="17212B"/>
        </w:rPr>
        <w:t xml:space="preserve">PatchForge is a governance product. It does not scan environments, generate exploit code, provide procedural exploit steps, deploy patches, mutate production systems, approve CAB decisions, or accept risk autonomously.</w:t>
      </w:r>
    </w:p>
    <w:p>
      <w:pPr>
        <w:pStyle w:val="Heading1"/>
      </w:pPr>
      <w:r>
        <w:t xml:space="preserve">Appendix: Signed Artefacts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tblGrid>
      <w:tr>
        <w:trPr>
          <w:tblHeader/>
        </w:trPr>
        <w:tc>
          <w:tcPr>
            <w:tcW w:type="dxa" w:w="5800"/>
            <w:shd w:fill="1D3C5A" w:val="clear"/>
            <w:tcMar>
              <w:top w:type="dxa" w:w="100"/>
              <w:left w:type="dxa" w:w="120"/>
              <w:bottom w:type="dxa" w:w="100"/>
              <w:right w:type="dxa" w:w="120"/>
            </w:tcMar>
            <w:vAlign w:val="center"/>
          </w:tcPr>
          <w:p>
            <w:pPr>
              <w:spacing w:after="0" w:before="0"/>
              <w:jc w:val="left"/>
            </w:pPr>
            <w:r>
              <w:rPr>
                <w:b/>
                <w:bCs/>
                <w:color w:val="FFFFFF"/>
                <w:sz w:val="19"/>
                <w:szCs w:val="19"/>
              </w:rPr>
              <w:t xml:space="preserve">Artefact</w:t>
            </w:r>
          </w:p>
        </w:tc>
        <w:tc>
          <w:tcPr>
            <w:tcW w:type="dxa" w:w="356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Status</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affected_asset_scope.json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bayesian_patch_risk_snapshot.json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compensating_controls_plan.json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config_applicability_assessment.json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customer_network_asset_snapshot.json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exploitability_assessment.json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finding_intelligence_snapshot.json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governance_manifest.json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human_review_state.json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network_vendor_profile_snapshot.json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patch_change_readiness.json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patch_decision_context.json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patch_feasibility_assessment.json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patch_prior_update_proposal.json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patch_prior_usage_manifest.json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patch_risk_acceptance_state.json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7212B"/>
        <w:sz w:val="22"/>
        <w:szCs w:val="22"/>
      </w:rPr>
    </w:rPrDefault>
    <w:pPrDefault>
      <w:pPr>
        <w:spacing w:after="120"/>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rFonts w:ascii="Calibri" w:cs="Calibri" w:eastAsia="Calibri" w:hAnsi="Calibri"/>
      <w:b/>
      <w:bCs/>
      <w:color w:val="2E74B5"/>
      <w:sz w:val="32"/>
      <w:szCs w:val="32"/>
    </w:rPr>
  </w:style>
  <w:style w:type="paragraph" w:styleId="Heading2">
    <w:name w:val="Heading 2"/>
    <w:basedOn w:val="Normal"/>
    <w:next w:val="Normal"/>
    <w:qFormat/>
    <w:pPr>
      <w:spacing w:after="120" w:before="240"/>
    </w:pPr>
    <w:rPr>
      <w:rFonts w:ascii="Calibri" w:cs="Calibri" w:eastAsia="Calibri" w:hAnsi="Calibri"/>
      <w:b/>
      <w:bCs/>
      <w:color w:val="2E74B5"/>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Board Vulnerability Remediation Summary</dc:title>
  <dc:creator>DIIaC PatchForge</dc:creator>
  <dc:description>Board Vulnerability Remediation Summary for CVE-2026-923386</dc:description>
  <cp:lastModifiedBy>Un-named</cp:lastModifiedBy>
  <cp:revision>1</cp:revision>
  <dcterms:created xsi:type="dcterms:W3CDTF">2026-05-28T17:02:30.453Z</dcterms:created>
  <dcterms:modified xsi:type="dcterms:W3CDTF">2026-05-28T17:02:30.453Z</dcterms:modified>
</cp:coreProperties>
</file>

<file path=docProps/custom.xml><?xml version="1.0" encoding="utf-8"?>
<Properties xmlns="http://schemas.openxmlformats.org/officeDocument/2006/custom-properties" xmlns:vt="http://schemas.openxmlformats.org/officeDocument/2006/docPropsVTypes"/>
</file>