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b/>
          <w:bCs/>
          <w:color w:val="0F766E"/>
          <w:sz w:val="22"/>
          <w:szCs w:val="22"/>
        </w:rPr>
        <w:t xml:space="preserve">DIIaC PatchForge</w:t>
      </w:r>
      <w:r>
        <w:rPr>
          <w:color w:val="5E6B76"/>
          <w:sz w:val="22"/>
          <w:szCs w:val="22"/>
        </w:rPr>
        <w:t xml:space="preserve"> | Signed Patch Governance</w:t>
      </w:r>
    </w:p>
    <w:p>
      <w:pPr>
        <w:pBdr>
          <w:left w:val="single" w:color="0F766E" w:sz="16"/>
        </w:pBdr>
        <w:shd w:fill="E6EEF7" w:val="clear"/>
        <w:spacing w:after="200" w:before="80"/>
        <w:ind w:left="160"/>
      </w:pPr>
      <w:r>
        <w:rPr>
          <w:b/>
          <w:bCs/>
          <w:color w:val="1D3C5A"/>
          <w:sz w:val="32"/>
          <w:szCs w:val="32"/>
        </w:rPr>
        <w:br/>
        <w:t xml:space="preserve">Board Vulnerability Remediation Summary</w:t>
      </w:r>
      <w:r>
        <w:rPr>
          <w:color w:val="5E6B76"/>
          <w:sz w:val="20"/>
          <w:szCs w:val="20"/>
        </w:rPr>
        <w:br/>
        <w:t xml:space="preserve">Board and senior leadership | CVE-2026-48172 | Pack PF-PFAZ7-QA-48172</w:t>
      </w:r>
      <w:r>
        <w:rPr>
          <w:color w:val="17212B"/>
          <w:sz w:val="20"/>
          <w:szCs w:val="20"/>
        </w:rPr>
        <w:br/>
        <w:t xml:space="preserve">Generated 27/05/2026, 00:07:18. Decision posture: Defer Pending Evidence. Readiness: Blocked.</w:t>
      </w:r>
    </w:p>
    <w:p>
      <w:pPr>
        <w:pStyle w:val="Heading1"/>
        <w:keepNext/>
      </w:pPr>
      <w:r>
        <w:t xml:space="preserve">Decision Snapshot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rPr>
          <w:tblHeader w:val="false"/>
        </w:trPr>
        <w:tc>
          <w:tcPr>
            <w:tcW w:type="dxa" w:w="2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Vulnerability</w:t>
            </w:r>
          </w:p>
        </w:tc>
        <w:tc>
          <w:tcPr>
            <w:tcW w:type="dxa" w:w="6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CVE-2026-48172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Title</w:t>
            </w:r>
          </w:p>
        </w:tc>
        <w:tc>
          <w:tcPr>
            <w:tcW w:type="dxa" w:w="6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LiteSpeed cPanel Plugin Privilege Escalation Vulnerability</w:t>
            </w:r>
          </w:p>
        </w:tc>
      </w:tr>
      <w:tr>
        <w:trPr>
          <w:tblHeader w:val="false"/>
        </w:trPr>
        <w:tc>
          <w:tcPr>
            <w:tcW w:type="dxa" w:w="2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Severity</w:t>
            </w:r>
          </w:p>
        </w:tc>
        <w:tc>
          <w:tcPr>
            <w:tcW w:type="dxa" w:w="6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Decision posture</w:t>
            </w:r>
          </w:p>
        </w:tc>
        <w:tc>
          <w:tcPr>
            <w:tcW w:type="dxa" w:w="6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Defer Pending Evidence</w:t>
            </w:r>
          </w:p>
        </w:tc>
      </w:tr>
      <w:tr>
        <w:trPr>
          <w:tblHeader w:val="false"/>
        </w:trPr>
        <w:tc>
          <w:tcPr>
            <w:tcW w:type="dxa" w:w="2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Readiness</w:t>
            </w:r>
          </w:p>
        </w:tc>
        <w:tc>
          <w:tcPr>
            <w:tcW w:type="dxa" w:w="6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Blocked (25)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Final approval</w:t>
            </w:r>
          </w:p>
        </w:tc>
        <w:tc>
          <w:tcPr>
            <w:tcW w:type="dxa" w:w="6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Not issued</w:t>
            </w:r>
          </w:p>
        </w:tc>
      </w:tr>
      <w:tr>
        <w:trPr>
          <w:tblHeader w:val="false"/>
        </w:trPr>
        <w:tc>
          <w:tcPr>
            <w:tcW w:type="dxa" w:w="2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Source pack</w:t>
            </w:r>
          </w:p>
        </w:tc>
        <w:tc>
          <w:tcPr>
            <w:tcW w:type="dxa" w:w="6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Immutable and preserved</w:t>
            </w:r>
          </w:p>
        </w:tc>
      </w:tr>
    </w:tbl>
    <w:p>
      <w:pPr>
        <w:pStyle w:val="Heading1"/>
        <w:keepNext/>
      </w:pPr>
      <w:r>
        <w:t xml:space="preserve">Evidence, Trust, and Signing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rPr>
          <w:tblHeader w:val="false"/>
        </w:trPr>
        <w:tc>
          <w:tcPr>
            <w:tcW w:type="dxa" w:w="2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Signed pack</w:t>
            </w:r>
          </w:p>
        </w:tc>
        <w:tc>
          <w:tcPr>
            <w:tcW w:type="dxa" w:w="6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PF-PFAZ7-QA-48172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Verification</w:t>
            </w:r>
          </w:p>
        </w:tc>
        <w:tc>
          <w:tcPr>
            <w:tcW w:type="dxa" w:w="6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Verified</w:t>
            </w:r>
          </w:p>
        </w:tc>
      </w:tr>
      <w:tr>
        <w:trPr>
          <w:tblHeader w:val="false"/>
        </w:trPr>
        <w:tc>
          <w:tcPr>
            <w:tcW w:type="dxa" w:w="2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Signing provider</w:t>
            </w:r>
          </w:p>
        </w:tc>
        <w:tc>
          <w:tcPr>
            <w:tcW w:type="dxa" w:w="6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Azure Key Vault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Signature algorithm</w:t>
            </w:r>
          </w:p>
        </w:tc>
        <w:tc>
          <w:tcPr>
            <w:tcW w:type="dxa" w:w="6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ES256</w:t>
            </w:r>
          </w:p>
        </w:tc>
      </w:tr>
      <w:tr>
        <w:trPr>
          <w:tblHeader w:val="false"/>
        </w:trPr>
        <w:tc>
          <w:tcPr>
            <w:tcW w:type="dxa" w:w="2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Governance manifest SHA-256</w:t>
            </w:r>
          </w:p>
        </w:tc>
        <w:tc>
          <w:tcPr>
            <w:tcW w:type="dxa" w:w="6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qa-render-hash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Evidence references</w:t>
            </w:r>
          </w:p>
        </w:tc>
        <w:tc>
          <w:tcPr>
            <w:tcW w:type="dxa" w:w="6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1</w:t>
            </w:r>
          </w:p>
        </w:tc>
      </w:tr>
    </w:tbl>
    <w:p>
      <w:pPr>
        <w:pStyle w:val="Heading1"/>
        <w:keepNext/>
      </w:pPr>
      <w:r>
        <w:t xml:space="preserve">Source Intelligence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180"/>
            <w:shd w:fill="1D3C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Source ref</w:t>
            </w:r>
          </w:p>
        </w:tc>
        <w:tc>
          <w:tcPr>
            <w:tcW w:type="dxa" w:w="2240"/>
            <w:shd w:fill="1D3C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Class</w:t>
            </w:r>
          </w:p>
        </w:tc>
        <w:tc>
          <w:tcPr>
            <w:tcW w:type="dxa" w:w="1880"/>
            <w:shd w:fill="1D3C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Review</w:t>
            </w:r>
          </w:p>
        </w:tc>
        <w:tc>
          <w:tcPr>
            <w:tcW w:type="dxa" w:w="2060"/>
            <w:shd w:fill="1D3C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Evidence</w:t>
            </w:r>
          </w:p>
        </w:tc>
      </w:tr>
      <w:tr>
        <w:trPr>
          <w:tblHeader w:val="false"/>
        </w:trPr>
        <w:tc>
          <w:tcPr>
            <w:tcW w:type="dxa" w:w="3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src-cisa-kev-CVE-2026-48172</w:t>
            </w:r>
          </w:p>
        </w:tc>
        <w:tc>
          <w:tcPr>
            <w:tcW w:type="dxa" w:w="22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Kev Record</w:t>
            </w:r>
          </w:p>
        </w:tc>
        <w:tc>
          <w:tcPr>
            <w:tcW w:type="dxa" w:w="18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Pending Review</w:t>
            </w:r>
          </w:p>
        </w:tc>
        <w:tc>
          <w:tcPr>
            <w:tcW w:type="dxa" w:w="20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Referenced</w:t>
            </w:r>
          </w:p>
        </w:tc>
      </w:tr>
    </w:tbl>
    <w:p>
      <w:pPr>
        <w:pStyle w:val="Heading1"/>
        <w:keepNext/>
        <w:pageBreakBefore/>
      </w:pPr>
      <w:r>
        <w:t xml:space="preserve">Bayesian Advisory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rPr>
          <w:tblHeader w:val="false"/>
        </w:trPr>
        <w:tc>
          <w:tcPr>
            <w:tcW w:type="dxa" w:w="2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6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Generated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Advisory boundary</w:t>
            </w:r>
          </w:p>
        </w:tc>
        <w:tc>
          <w:tcPr>
            <w:tcW w:type="dxa" w:w="6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Advisory only; cannot close gates or approve risk</w:t>
            </w:r>
          </w:p>
        </w:tc>
      </w:tr>
      <w:tr>
        <w:trPr>
          <w:tblHeader w:val="false"/>
        </w:trPr>
        <w:tc>
          <w:tcPr>
            <w:tcW w:type="dxa" w:w="2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Recommended posture</w:t>
            </w:r>
          </w:p>
        </w:tc>
        <w:tc>
          <w:tcPr>
            <w:tcW w:type="dxa" w:w="6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Defer Pending Evidence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Exploit probability posterior</w:t>
            </w:r>
          </w:p>
        </w:tc>
        <w:tc>
          <w:tcPr>
            <w:tcW w:type="dxa" w:w="6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50%</w:t>
            </w:r>
          </w:p>
        </w:tc>
      </w:tr>
      <w:tr>
        <w:trPr>
          <w:tblHeader w:val="false"/>
        </w:trPr>
        <w:tc>
          <w:tcPr>
            <w:tcW w:type="dxa" w:w="2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Business impact posterior</w:t>
            </w:r>
          </w:p>
        </w:tc>
        <w:tc>
          <w:tcPr>
            <w:tcW w:type="dxa" w:w="6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35%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Patch feasibility posterior</w:t>
            </w:r>
          </w:p>
        </w:tc>
        <w:tc>
          <w:tcPr>
            <w:tcW w:type="dxa" w:w="6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32%</w:t>
            </w:r>
          </w:p>
        </w:tc>
      </w:tr>
      <w:tr>
        <w:trPr>
          <w:tblHeader w:val="false"/>
        </w:trPr>
        <w:tc>
          <w:tcPr>
            <w:tcW w:type="dxa" w:w="2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Change risk posterior</w:t>
            </w:r>
          </w:p>
        </w:tc>
        <w:tc>
          <w:tcPr>
            <w:tcW w:type="dxa" w:w="6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39%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Deferral risk posterior</w:t>
            </w:r>
          </w:p>
        </w:tc>
        <w:tc>
          <w:tcPr>
            <w:tcW w:type="dxa" w:w="6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58%</w:t>
            </w:r>
          </w:p>
        </w:tc>
      </w:tr>
    </w:tbl>
    <w:p>
      <w:pPr>
        <w:pStyle w:val="Heading1"/>
        <w:keepNext/>
      </w:pPr>
      <w:r>
        <w:t xml:space="preserve">Vendor and Threat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rPr>
          <w:tblHeader w:val="false"/>
        </w:trPr>
        <w:tc>
          <w:tcPr>
            <w:tcW w:type="dxa" w:w="2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Vendor intelligence</w:t>
            </w:r>
          </w:p>
        </w:tc>
        <w:tc>
          <w:tcPr>
            <w:tcW w:type="dxa" w:w="6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Source-bound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Threat landscape</w:t>
            </w:r>
          </w:p>
        </w:tc>
        <w:tc>
          <w:tcPr>
            <w:tcW w:type="dxa" w:w="6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Source-bound</w:t>
            </w:r>
          </w:p>
        </w:tc>
      </w:tr>
      <w:tr>
        <w:trPr>
          <w:tblHeader w:val="false"/>
        </w:trPr>
        <w:tc>
          <w:tcPr>
            <w:tcW w:type="dxa" w:w="2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Active exploitation signals</w:t>
            </w:r>
          </w:p>
        </w:tc>
        <w:tc>
          <w:tcPr>
            <w:tcW w:type="dxa" w:w="6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Critical open advisories</w:t>
            </w:r>
          </w:p>
        </w:tc>
        <w:tc>
          <w:tcPr>
            <w:tcW w:type="dxa" w:w="6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2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Patch maturity</w:t>
            </w:r>
          </w:p>
        </w:tc>
        <w:tc>
          <w:tcPr>
            <w:tcW w:type="dxa" w:w="6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Unknown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Source review</w:t>
            </w:r>
          </w:p>
        </w:tc>
        <w:tc>
          <w:tcPr>
            <w:tcW w:type="dxa" w:w="6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Pending review unless explicitly accepted</w:t>
            </w:r>
          </w:p>
        </w:tc>
      </w:tr>
    </w:tbl>
    <w:p>
      <w:pPr>
        <w:pStyle w:val="Heading1"/>
        <w:keepNext/>
      </w:pPr>
      <w:r>
        <w:t xml:space="preserve">Blockers and Required Human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80"/>
            <w:shd w:fill="1D3C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Blocker / Action</w:t>
            </w:r>
          </w:p>
        </w:tc>
        <w:tc>
          <w:tcPr>
            <w:tcW w:type="dxa" w:w="2620"/>
            <w:shd w:fill="1D3C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3560"/>
            <w:shd w:fill="1D3C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Required outcome</w:t>
            </w:r>
          </w:p>
        </w:tc>
      </w:tr>
      <w:tr>
        <w:trPr>
          <w:tblHeader w:val="false"/>
        </w:trPr>
        <w:tc>
          <w:tcPr>
            <w:tcW w:type="dxa" w:w="3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Affected Asset Scope</w:t>
            </w:r>
          </w:p>
        </w:tc>
        <w:tc>
          <w:tcPr>
            <w:tcW w:type="dxa" w:w="262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Accountable service/security owner</w:t>
            </w:r>
          </w:p>
        </w:tc>
        <w:tc>
          <w:tcPr>
            <w:tcW w:type="dxa" w:w="3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Assign owner, attach reviewed evidence, and rerun deterministic compile.</w:t>
            </w:r>
          </w:p>
        </w:tc>
      </w:tr>
      <w:tr>
        <w:trPr>
          <w:tblHeader w:val="false"/>
        </w:trPr>
        <w:tc>
          <w:tcPr>
            <w:tcW w:type="dxa" w:w="318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Test Evidence</w:t>
            </w:r>
          </w:p>
        </w:tc>
        <w:tc>
          <w:tcPr>
            <w:tcW w:type="dxa" w:w="262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Accountable service/security owner</w:t>
            </w:r>
          </w:p>
        </w:tc>
        <w:tc>
          <w:tcPr>
            <w:tcW w:type="dxa" w:w="3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Attach reviewed test evidence or record explicit deferral rationale.</w:t>
            </w:r>
          </w:p>
        </w:tc>
      </w:tr>
      <w:tr>
        <w:trPr>
          <w:tblHeader w:val="false"/>
        </w:trPr>
        <w:tc>
          <w:tcPr>
            <w:tcW w:type="dxa" w:w="3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Rollback Plan</w:t>
            </w:r>
          </w:p>
        </w:tc>
        <w:tc>
          <w:tcPr>
            <w:tcW w:type="dxa" w:w="262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Accountable service/security owner</w:t>
            </w:r>
          </w:p>
        </w:tc>
        <w:tc>
          <w:tcPr>
            <w:tcW w:type="dxa" w:w="3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Attach reviewed rollback evidence before close or emergency approval.</w:t>
            </w:r>
          </w:p>
        </w:tc>
      </w:tr>
      <w:tr>
        <w:trPr>
          <w:tblHeader w:val="false"/>
        </w:trPr>
        <w:tc>
          <w:tcPr>
            <w:tcW w:type="dxa" w:w="318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Human Approval</w:t>
            </w:r>
          </w:p>
        </w:tc>
        <w:tc>
          <w:tcPr>
            <w:tcW w:type="dxa" w:w="262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Accountable service/security owner</w:t>
            </w:r>
          </w:p>
        </w:tc>
        <w:tc>
          <w:tcPr>
            <w:tcW w:type="dxa" w:w="3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Record accountable approval event after evidence review.</w:t>
            </w:r>
          </w:p>
        </w:tc>
      </w:tr>
      <w:tr>
        <w:trPr>
          <w:tblHeader w:val="false"/>
        </w:trPr>
        <w:tc>
          <w:tcPr>
            <w:tcW w:type="dxa" w:w="3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Human approval</w:t>
            </w:r>
          </w:p>
        </w:tc>
        <w:tc>
          <w:tcPr>
            <w:tcW w:type="dxa" w:w="262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CAB / security lead</w:t>
            </w:r>
          </w:p>
        </w:tc>
        <w:tc>
          <w:tcPr>
            <w:tcW w:type="dxa" w:w="3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Explicit approval remains required</w:t>
            </w:r>
          </w:p>
        </w:tc>
      </w:tr>
    </w:tbl>
    <w:p>
      <w:pPr>
        <w:pStyle w:val="Heading1"/>
        <w:keepNext/>
      </w:pPr>
      <w:r>
        <w:t xml:space="preserve">Source-Pack and Current-State Separation</w:t>
      </w:r>
    </w:p>
    <w:p>
      <w:pPr>
        <w:spacing w:after="120"/>
      </w:pPr>
      <w:r>
        <w:t xml:space="preserve">The signed source pack preserves the compiled evidence state at generation time. Current-state overlays, post-pack evidence events, human approvals, and later reviews must be recorded as separate accountable events.</w:t>
      </w:r>
    </w:p>
    <w:p>
      <w:pPr>
        <w:pStyle w:val="Heading1"/>
        <w:keepNext/>
      </w:pPr>
      <w:r>
        <w:t xml:space="preserve">Decision Boundary</w:t>
      </w:r>
    </w:p>
    <w:p>
      <w:pPr>
        <w:pBdr>
          <w:left w:val="single" w:color="B7791F" w:sz="16"/>
        </w:pBdr>
        <w:shd w:fill="FFF6E4" w:val="clear"/>
        <w:spacing w:after="180" w:before="80"/>
        <w:ind w:left="160"/>
      </w:pPr>
      <w:r>
        <w:rPr>
          <w:b/>
          <w:bCs/>
          <w:color w:val="17212B"/>
        </w:rPr>
        <w:t xml:space="preserve">PatchForge is a governance product. It does not scan environments, generate exploit code, provide procedural exploit steps, deploy patches, mutate production systems, approve CAB decisions, or accept risk autonomously.</w:t>
      </w:r>
    </w:p>
    <w:p>
      <w:pPr>
        <w:pStyle w:val="Heading1"/>
        <w:keepNext/>
      </w:pPr>
      <w:r>
        <w:t xml:space="preserve">Appendix: Signed Artefacts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5800"/>
            <w:shd w:fill="1D3C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Artefact</w:t>
            </w:r>
          </w:p>
        </w:tc>
        <w:tc>
          <w:tcPr>
            <w:tcW w:type="dxa" w:w="3560"/>
            <w:shd w:fill="1D3C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5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bayesian_patch_risk_snapshot.json</w:t>
            </w:r>
          </w:p>
        </w:tc>
        <w:tc>
          <w:tcPr>
            <w:tcW w:type="dxa" w:w="3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  <w:tr>
        <w:trPr>
          <w:tblHeader w:val="false"/>
        </w:trPr>
        <w:tc>
          <w:tcPr>
            <w:tcW w:type="dxa" w:w="5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governance_manifest.json</w:t>
            </w:r>
          </w:p>
        </w:tc>
        <w:tc>
          <w:tcPr>
            <w:tcW w:type="dxa" w:w="3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  <w:tr>
        <w:trPr>
          <w:tblHeader w:val="false"/>
        </w:trPr>
        <w:tc>
          <w:tcPr>
            <w:tcW w:type="dxa" w:w="5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human_review_state.json</w:t>
            </w:r>
          </w:p>
        </w:tc>
        <w:tc>
          <w:tcPr>
            <w:tcW w:type="dxa" w:w="3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  <w:tr>
        <w:trPr>
          <w:tblHeader w:val="false"/>
        </w:trPr>
        <w:tc>
          <w:tcPr>
            <w:tcW w:type="dxa" w:w="5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patch_decision_context.json</w:t>
            </w:r>
          </w:p>
        </w:tc>
        <w:tc>
          <w:tcPr>
            <w:tcW w:type="dxa" w:w="3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  <w:tr>
        <w:trPr>
          <w:tblHeader w:val="false"/>
        </w:trPr>
        <w:tc>
          <w:tcPr>
            <w:tcW w:type="dxa" w:w="5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signed_export.sig</w:t>
            </w:r>
          </w:p>
        </w:tc>
        <w:tc>
          <w:tcPr>
            <w:tcW w:type="dxa" w:w="3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  <w:tr>
        <w:trPr>
          <w:tblHeader w:val="false"/>
        </w:trPr>
        <w:tc>
          <w:tcPr>
            <w:tcW w:type="dxa" w:w="5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signed_export.sigmeta.json</w:t>
            </w:r>
          </w:p>
        </w:tc>
        <w:tc>
          <w:tcPr>
            <w:tcW w:type="dxa" w:w="3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  <w:tr>
        <w:trPr>
          <w:tblHeader w:val="false"/>
        </w:trPr>
        <w:tc>
          <w:tcPr>
            <w:tcW w:type="dxa" w:w="5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sra_trace.json</w:t>
            </w:r>
          </w:p>
        </w:tc>
        <w:tc>
          <w:tcPr>
            <w:tcW w:type="dxa" w:w="3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  <w:tr>
        <w:trPr>
          <w:tblHeader w:val="false"/>
        </w:trPr>
        <w:tc>
          <w:tcPr>
            <w:tcW w:type="dxa" w:w="5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threat_landscape_snapshot.json</w:t>
            </w:r>
          </w:p>
        </w:tc>
        <w:tc>
          <w:tcPr>
            <w:tcW w:type="dxa" w:w="3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  <w:tr>
        <w:trPr>
          <w:tblHeader w:val="false"/>
        </w:trPr>
        <w:tc>
          <w:tcPr>
            <w:tcW w:type="dxa" w:w="5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vendor_intelligence_snapshot.json</w:t>
            </w:r>
          </w:p>
        </w:tc>
        <w:tc>
          <w:tcPr>
            <w:tcW w:type="dxa" w:w="3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  <w:tr>
        <w:trPr>
          <w:tblHeader w:val="false"/>
        </w:trPr>
        <w:tc>
          <w:tcPr>
            <w:tcW w:type="dxa" w:w="5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verification_manifest.json</w:t>
            </w:r>
          </w:p>
        </w:tc>
        <w:tc>
          <w:tcPr>
            <w:tcW w:type="dxa" w:w="3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  <w:tr>
        <w:trPr>
          <w:tblHeader w:val="false"/>
        </w:trPr>
        <w:tc>
          <w:tcPr>
            <w:tcW w:type="dxa" w:w="5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vulnerability_intelligence_snapshot.json</w:t>
            </w:r>
          </w:p>
        </w:tc>
        <w:tc>
          <w:tcPr>
            <w:tcW w:type="dxa" w:w="3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</w:tbl>
    <w:p>
      <w:pPr>
        <w:spacing w:before="240"/>
      </w:pPr>
      <w:r>
        <w:rPr>
          <w:b/>
          <w:bCs/>
          <w:color w:val="1D3C5A"/>
        </w:rPr>
        <w:t xml:space="preserve">Report integrity note: </w:t>
      </w:r>
      <w:r>
        <w:t xml:space="preserve">This report was generated from signed pack PF-PFAZ7-QA-48172. Source truth still depends on reviewed source evidence and accountable human approval.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7212B"/>
        <w:sz w:val="22"/>
        <w:szCs w:val="22"/>
      </w:rPr>
    </w:rPrDefault>
    <w:pPrDefault>
      <w:pPr>
        <w:spacing w:after="120"/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Board Vulnerability Remediation Summary</dc:title>
  <dc:creator>DIIaC PatchForge</dc:creator>
  <dc:description>Board Vulnerability Remediation Summary for CVE-2026-48172</dc:description>
  <cp:lastModifiedBy>Un-named</cp:lastModifiedBy>
  <cp:revision>1</cp:revision>
  <dcterms:created xsi:type="dcterms:W3CDTF">2026-05-27T00:07:18.562Z</dcterms:created>
  <dcterms:modified xsi:type="dcterms:W3CDTF">2026-05-27T00:07:18.562Z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