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PF-20260528-9a653d50</w:t>
      </w:r>
      <w:r>
        <w:rPr>
          <w:color w:val="17212B"/>
          <w:sz w:val="20"/>
          <w:szCs w:val="20"/>
        </w:rPr>
        <w:br/>
        <w:t xml:space="preserve">Generated 28/05/2026, 16:40:05.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local-pfaz9a-refinement</w:t>
      </w:r>
    </w:p>
    <w:p>
      <w:pPr>
        <w:spacing w:after="70"/>
        <w:ind w:left="180"/>
      </w:pPr>
      <w:r>
        <w:rPr>
          <w:b/>
          <w:bCs/>
          <w:color w:val="1D3C5A"/>
          <w:sz w:val="20"/>
          <w:szCs w:val="20"/>
        </w:rPr>
        <w:t xml:space="preserve">report_renderer_image_tag: </w:t>
      </w:r>
      <w:r>
        <w:rPr>
          <w:color w:val="17212B"/>
          <w:sz w:val="20"/>
          <w:szCs w:val="20"/>
        </w:rPr>
        <w:t xml:space="preserve">pfaz9a-local</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generated_at_utc: </w:t>
      </w:r>
      <w:r>
        <w:rPr>
          <w:color w:val="17212B"/>
          <w:sz w:val="20"/>
          <w:szCs w:val="20"/>
        </w:rPr>
        <w:t xml:space="preserve">2026-05-28T16:40:05.362Z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PF-20260528-9a653d50</w:t>
      </w:r>
    </w:p>
    <w:p>
      <w:pPr>
        <w:spacing w:after="70"/>
        <w:ind w:left="180"/>
      </w:pPr>
      <w:r>
        <w:rPr>
          <w:b/>
          <w:bCs/>
          <w:color w:val="1D3C5A"/>
          <w:sz w:val="20"/>
          <w:szCs w:val="20"/>
        </w:rPr>
        <w:t xml:space="preserve">report_type: </w:t>
      </w:r>
      <w:r>
        <w:rPr>
          <w:color w:val="17212B"/>
          <w:sz w:val="20"/>
          <w:szCs w:val="20"/>
        </w:rPr>
        <w:t xml:space="preserve">cab_patch_decision_report</w:t>
      </w:r>
    </w:p>
    <w:p>
      <w:pPr>
        <w:spacing w:after="70"/>
        <w:ind w:left="180"/>
      </w:pPr>
      <w:r>
        <w:rPr>
          <w:b/>
          <w:bCs/>
          <w:color w:val="1D3C5A"/>
          <w:sz w:val="20"/>
          <w:szCs w:val="20"/>
        </w:rPr>
        <w:t xml:space="preserve">report_audience: </w:t>
      </w:r>
      <w:r>
        <w:rPr>
          <w:color w:val="17212B"/>
          <w:sz w:val="20"/>
          <w:szCs w:val="20"/>
        </w:rPr>
        <w:t xml:space="preserve">Change Advisory Board</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CAB Decision Request</w:t>
      </w:r>
    </w:p>
    <w:p>
      <w:pPr>
        <w:spacing w:after="120"/>
      </w:pPr>
      <w:r>
        <w:t xml:space="preserve">CAB is asked to review CVE-2026-48172 under governed posture Urgent scope confirmation required - final remediation decision blocked pending evidence.. Final approval not issued.</w:t>
      </w:r>
    </w:p>
    <w:p>
      <w:pPr>
        <w:pStyle w:val="Heading1"/>
      </w:pPr>
      <w:r>
        <w:t xml:space="preserve">Patch Applicability</w:t>
      </w:r>
    </w:p>
    <w:p>
      <w:pPr>
        <w:spacing w:after="120"/>
      </w:pPr>
      <w:r>
        <w:t xml:space="preserve">VendorLens applicability posture: Not Recorded. Urgency: Not Recorded.</w:t>
      </w:r>
    </w:p>
    <w:p>
      <w:pPr>
        <w:pStyle w:val="Heading1"/>
      </w:pPr>
      <w:r>
        <w:t xml:space="preserve">Network Vendor Applicability</w:t>
      </w:r>
    </w:p>
    <w:p>
      <w:pPr>
        <w:spacing w:after="120"/>
      </w:pPr>
      <w:r>
        <w:t xml:space="preserve">Network vendor applicability context is attached as source-bound advisory intelligence.</w:t>
      </w:r>
    </w:p>
    <w:p>
      <w:pPr>
        <w:pStyle w:val="Heading1"/>
      </w:pPr>
      <w:r>
        <w:t xml:space="preserve">Customer Configuration Context</w:t>
      </w:r>
    </w:p>
    <w:p>
      <w:pPr>
        <w:spacing w:after="120"/>
      </w:pPr>
      <w:r>
        <w:t xml:space="preserve">Asset not recorded uses product pending version pending.</w:t>
      </w:r>
    </w:p>
    <w:p>
      <w:pPr>
        <w:pStyle w:val="Heading1"/>
      </w:pPr>
      <w:r>
        <w:t xml:space="preserve">Patch / Workaround Evidence</w:t>
      </w:r>
    </w:p>
    <w:p>
      <w:pPr>
        <w:spacing w:after="120"/>
      </w:pPr>
      <w:r>
        <w:t xml:space="preserve">Vendor patch note, fixed version mapping, workaround evidence, and remediation applicability require reviewed evidence.</w:t>
      </w:r>
    </w:p>
    <w:p>
      <w:pPr>
        <w:pStyle w:val="Heading1"/>
      </w:pPr>
      <w:r>
        <w:t xml:space="preserve">Change Readiness</w:t>
      </w:r>
    </w:p>
    <w:p>
      <w:pPr>
        <w:spacing w:after="120"/>
      </w:pPr>
      <w:r>
        <w:t xml:space="preserve">Readiness state: Blocked.</w:t>
      </w:r>
    </w:p>
    <w:p>
      <w:pPr>
        <w:pStyle w:val="Heading1"/>
      </w:pPr>
      <w:r>
        <w:t xml:space="preserve">Test Evidence</w:t>
      </w:r>
    </w:p>
    <w:p>
      <w:pPr>
        <w:spacing w:after="120"/>
      </w:pPr>
      <w:r>
        <w:t xml:space="preserve">Test evidence must be attached and reviewed before CAB approval.</w:t>
      </w:r>
    </w:p>
    <w:p>
      <w:pPr>
        <w:pStyle w:val="Heading1"/>
      </w:pPr>
      <w:r>
        <w:t xml:space="preserve">Rollback and Recovery</w:t>
      </w:r>
    </w:p>
    <w:p>
      <w:pPr>
        <w:spacing w:after="120"/>
      </w:pPr>
      <w:r>
        <w:t xml:space="preserve">Rollback evidence and recovery owner must be recorded before approval.</w:t>
      </w:r>
    </w:p>
    <w:p>
      <w:pPr>
        <w:pStyle w:val="Heading1"/>
      </w:pPr>
      <w:r>
        <w:t xml:space="preserve">Maintenance Window</w:t>
      </w:r>
    </w:p>
    <w:p>
      <w:pPr>
        <w:spacing w:after="120"/>
      </w:pPr>
      <w:r>
        <w:t xml:space="preserve">Maintenance window evidence is required for accountable change approval.</w:t>
      </w:r>
    </w:p>
    <w:p>
      <w:pPr>
        <w:pStyle w:val="Heading1"/>
      </w:pPr>
      <w:r>
        <w:t xml:space="preserve">Implementation Ownership</w:t>
      </w:r>
    </w:p>
    <w:p>
      <w:pPr>
        <w:spacing w:after="120"/>
      </w:pPr>
      <w:r>
        <w:t xml:space="preserve">Implementation ownership remains outside PatchForge automation and must be recorded by the accountable service or platform owner.</w:t>
      </w:r>
    </w:p>
    <w:p>
      <w:pPr>
        <w:pStyle w:val="Heading1"/>
      </w:pPr>
      <w:r>
        <w:t xml:space="preserve">Approval Conditions</w:t>
      </w:r>
    </w:p>
    <w:p>
      <w:pPr>
        <w:spacing w:after="120"/>
      </w:pPr>
      <w:r>
        <w:t xml:space="preserve">Human approval remains required. PatchForge does not approve CAB decisions, risk acceptance, patch deployment, or closure autonomously.</w:t>
      </w:r>
    </w:p>
    <w:p>
      <w:pPr>
        <w:pStyle w:val="Heading1"/>
      </w:pPr>
      <w:r>
        <w:t xml:space="preserve">Required Evidence Before CAB Approval</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Signed Pack and Audit Trace</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Source pack: </w:t>
      </w:r>
      <w:r>
        <w:rPr>
          <w:color w:val="17212B"/>
          <w:sz w:val="20"/>
          <w:szCs w:val="20"/>
        </w:rPr>
        <w:t xml:space="preserve">PF-20260528-9a653d50</w:t>
      </w:r>
    </w:p>
    <w:p>
      <w:pPr>
        <w:spacing w:after="70"/>
        <w:ind w:left="180"/>
      </w:pPr>
      <w:r>
        <w:rPr>
          <w:b/>
          <w:bCs/>
          <w:color w:val="1D3C5A"/>
          <w:sz w:val="20"/>
          <w:szCs w:val="20"/>
        </w:rPr>
        <w:t xml:space="preserve">Verification state: </w:t>
      </w:r>
      <w:r>
        <w:rPr>
          <w:color w:val="17212B"/>
          <w:sz w:val="20"/>
          <w:szCs w:val="20"/>
        </w:rPr>
        <w:t xml:space="preserve">verified</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2026-05-28T16:40:05.384Z</dcterms:created>
  <dcterms:modified xsi:type="dcterms:W3CDTF">2026-05-28T16:40:05.384Z</dcterms:modified>
</cp:coreProperties>
</file>

<file path=docProps/custom.xml><?xml version="1.0" encoding="utf-8"?>
<Properties xmlns="http://schemas.openxmlformats.org/officeDocument/2006/custom-properties" xmlns:vt="http://schemas.openxmlformats.org/officeDocument/2006/docPropsVTypes"/>
</file>