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CAB Patch Decision Report</w:t>
      </w:r>
      <w:r>
        <w:rPr>
          <w:color w:val="5E6B76"/>
          <w:sz w:val="20"/>
          <w:szCs w:val="20"/>
        </w:rPr>
        <w:br/>
        <w:t xml:space="preserve">Change Advisory Board | CVE-2026-48172 | Pack PF-20260527-934d6e60</w:t>
      </w:r>
      <w:r>
        <w:rPr>
          <w:color w:val="17212B"/>
          <w:sz w:val="20"/>
          <w:szCs w:val="20"/>
        </w:rPr>
        <w:br/>
        <w:t xml:space="preserve">Generated 27/05/2026, 11:13:47. Governed posture: Urgent scope confirmation required - final remediation decision blocked pending evidence.. Readiness: Blocked.</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Low</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What This Vulnerability Means</w:t>
      </w:r>
    </w:p>
    <w:p>
      <w:pPr>
        <w:spacing w:after="120"/>
      </w:pPr>
      <w:r>
        <w:t xml:space="preserve">LiteSpeed cPanel Plugin contains privilege escalation vulnerability that is exposed via the user-end cPanel plugin, which can be abused by any cPanel user account to execute arbitrary scripts with root privileges.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0% with percentile 3%. The recorded remediation due date is 2026-05-29.</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0% and percentile 3%.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0%</w:t>
      </w:r>
    </w:p>
    <w:p>
      <w:pPr>
        <w:spacing w:after="70"/>
        <w:ind w:left="180"/>
      </w:pPr>
      <w:r>
        <w:rPr>
          <w:b/>
          <w:bCs/>
          <w:color w:val="1D3C5A"/>
          <w:sz w:val="20"/>
          <w:szCs w:val="20"/>
        </w:rPr>
        <w:t xml:space="preserve">EPSS percentile: </w:t>
      </w:r>
      <w:r>
        <w:rPr>
          <w:color w:val="17212B"/>
          <w:sz w:val="20"/>
          <w:szCs w:val="20"/>
        </w:rPr>
        <w:t xml:space="preserve">3%</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2026-05-29</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4</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PF-20260527-934d6e60</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759d8910d3b99039916ed016812f8528aa037a9ed3b6553bade1774e90ceabc8</w:t>
      </w:r>
    </w:p>
    <w:p>
      <w:pPr>
        <w:spacing w:after="70"/>
        <w:ind w:left="180"/>
      </w:pPr>
      <w:r>
        <w:rPr>
          <w:b/>
          <w:bCs/>
          <w:color w:val="1D3C5A"/>
          <w:sz w:val="20"/>
          <w:szCs w:val="20"/>
        </w:rPr>
        <w:t xml:space="preserve">Evidence references: </w:t>
      </w:r>
      <w:r>
        <w:rPr>
          <w:color w:val="17212B"/>
          <w:sz w:val="20"/>
          <w:szCs w:val="20"/>
        </w:rPr>
        <w:t xml:space="preserve">2</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https://www.cisa.gov/sites/default/files/feeds/known_exploited_vulnerabilities.json</w:t>
      </w:r>
    </w:p>
    <w:p>
      <w:pPr>
        <w:spacing w:after="60" w:before="120"/>
      </w:pPr>
      <w:r>
        <w:rPr>
          <w:b/>
          <w:bCs/>
          <w:color w:val="1D3C5A"/>
          <w:sz w:val="22"/>
          <w:szCs w:val="22"/>
        </w:rPr>
        <w:t xml:space="preserve">src-first-epss-CVE-2026-48172-2026-05-26</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50%</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27%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54%</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10</w:t>
      </w:r>
    </w:p>
    <w:p>
      <w:pPr>
        <w:spacing w:after="70"/>
        <w:ind w:left="180"/>
      </w:pPr>
      <w:r>
        <w:rPr>
          <w:b/>
          <w:bCs/>
          <w:color w:val="1D3C5A"/>
          <w:sz w:val="20"/>
          <w:szCs w:val="20"/>
        </w:rPr>
        <w:t xml:space="preserve">Critical open advisories: </w:t>
      </w:r>
      <w:r>
        <w:rPr>
          <w:color w:val="17212B"/>
          <w:sz w:val="20"/>
          <w:szCs w:val="20"/>
        </w:rPr>
        <w:t xml:space="preserve">2</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Correlated vendor/KEV advisory context</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replay_certificate.json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signed_export.sig</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signed_export.sigmeta.json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 Patch Decision Report</dc:title>
  <dc:creator>DIIaC PatchForge</dc:creator>
  <dc:description>CAB Patch Decision Report for CVE-2026-48172</dc:description>
  <cp:lastModifiedBy>Un-named</cp:lastModifiedBy>
  <cp:revision>1</cp:revision>
  <dcterms:created xsi:type="dcterms:W3CDTF">2026-05-27T11:13:47.325Z</dcterms:created>
  <dcterms:modified xsi:type="dcterms:W3CDTF">2026-05-27T11:13:47.325Z</dcterms:modified>
</cp:coreProperties>
</file>

<file path=docProps/custom.xml><?xml version="1.0" encoding="utf-8"?>
<Properties xmlns="http://schemas.openxmlformats.org/officeDocument/2006/custom-properties" xmlns:vt="http://schemas.openxmlformats.org/officeDocument/2006/docPropsVTypes"/>
</file>