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Customer Patch Governance Pack</w:t>
      </w:r>
      <w:r>
        <w:rPr>
          <w:color w:val="5E6B76"/>
          <w:sz w:val="20"/>
          <w:szCs w:val="20"/>
        </w:rPr>
        <w:br/>
        <w:t xml:space="preserve">Customer assurance | CVE-2026-48172 | Pack PF-20260527-934d6e60</w:t>
      </w:r>
      <w:r>
        <w:rPr>
          <w:color w:val="17212B"/>
          <w:sz w:val="20"/>
          <w:szCs w:val="20"/>
        </w:rPr>
        <w:br/>
        <w:t xml:space="preserve">Generated 27/05/2026, 11:13:46. Governed posture: Urgent scope confirmation required - final remediation decision blocked pending evidence.. Readiness: Blocked.</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Low</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Customer Assurance Position</w:t>
      </w:r>
    </w:p>
    <w:p>
      <w:pPr>
        <w:pBdr>
          <w:left w:val="single" w:color="B7791F" w:sz="16"/>
        </w:pBdr>
        <w:shd w:fill="FFF6E4" w:val="clear"/>
        <w:spacing w:after="180" w:before="80"/>
        <w:ind w:left="160"/>
      </w:pPr>
      <w:r>
        <w:rPr>
          <w:b/>
          <w:bCs/>
          <w:color w:val="17212B"/>
        </w:rPr>
        <w:t xml:space="preserve">No customer remediation assurance can be issued yet because affected customer service scope and patch applicability evidence are not reviewed.</w:t>
      </w:r>
    </w:p>
    <w:p>
      <w:pPr>
        <w:pStyle w:val="Heading2"/>
      </w:pPr>
      <w:r>
        <w:t xml:space="preserve">Customer Impact Status</w:t>
      </w:r>
    </w:p>
    <w:p>
      <w:pPr>
        <w:spacing w:after="120"/>
      </w:pPr>
      <w:r>
        <w:t xml:space="preserve">PatchForge has public-source vulnerability intelligence, but customer asset and service exposure are not yet confirmed. Customer impact must be treated as unconfirmed.</w:t>
      </w:r>
    </w:p>
    <w:p>
      <w:pPr>
        <w:pStyle w:val="Heading2"/>
      </w:pPr>
      <w:r>
        <w:t xml:space="preserve">Customer Evidence Required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4</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2"/>
      </w:pPr>
      <w:r>
        <w:t xml:space="preserve">Customer Communication Position</w:t>
      </w:r>
    </w:p>
    <w:p>
      <w:pPr>
        <w:spacing w:after="120"/>
      </w:pPr>
      <w:r>
        <w:t xml:space="preserve">Customer communication should be limited to source-bound public-intelligence awareness and the active scope-confirmation work. Do not state that the customer estate is affected or remediated until reviewed exposure and patch applicability evidence exists.</w:t>
      </w:r>
    </w:p>
    <w:p>
      <w:pPr>
        <w:pStyle w:val="Heading2"/>
      </w:pPr>
      <w:r>
        <w:t xml:space="preserve">What Can Be Shared With Customer</w:t>
      </w:r>
    </w:p>
    <w:p>
      <w:pPr>
        <w:pStyle w:val="ListParagraph"/>
        <w:numPr>
          <w:ilvl w:val="0"/>
          <w:numId w:val="1"/>
        </w:numPr>
        <w:spacing w:after="80"/>
      </w:pPr>
      <w:r>
        <w:rPr>
          <w:color w:val="17212B"/>
          <w:sz w:val="20"/>
          <w:szCs w:val="20"/>
        </w:rPr>
        <w:t xml:space="preserve">PatchForge has recorded a source-bound vulnerability governance case.</w:t>
      </w:r>
    </w:p>
    <w:p>
      <w:pPr>
        <w:pStyle w:val="ListParagraph"/>
        <w:numPr>
          <w:ilvl w:val="0"/>
          <w:numId w:val="1"/>
        </w:numPr>
        <w:spacing w:after="80"/>
      </w:pPr>
      <w:r>
        <w:rPr>
          <w:color w:val="17212B"/>
          <w:sz w:val="20"/>
          <w:szCs w:val="20"/>
        </w:rPr>
        <w:t xml:space="preserve">Known-exploited and EPSS-style signals are prioritisation inputs, not proof of tenant exposure.</w:t>
      </w:r>
    </w:p>
    <w:p>
      <w:pPr>
        <w:pStyle w:val="ListParagraph"/>
        <w:numPr>
          <w:ilvl w:val="0"/>
          <w:numId w:val="1"/>
        </w:numPr>
        <w:spacing w:after="80"/>
      </w:pPr>
      <w:r>
        <w:rPr>
          <w:color w:val="17212B"/>
          <w:sz w:val="20"/>
          <w:szCs w:val="20"/>
        </w:rPr>
        <w:t xml:space="preserve">Human review, customer scope confirmation, and patch applicability evidence are required before assurance is issued.</w:t>
      </w:r>
    </w:p>
    <w:p>
      <w:pPr>
        <w:pStyle w:val="Heading2"/>
      </w:pPr>
      <w:r>
        <w:t xml:space="preserve">What Cannot Yet Be Claimed</w:t>
      </w:r>
    </w:p>
    <w:p>
      <w:pPr>
        <w:pStyle w:val="ListParagraph"/>
        <w:numPr>
          <w:ilvl w:val="0"/>
          <w:numId w:val="1"/>
        </w:numPr>
        <w:spacing w:after="80"/>
      </w:pPr>
      <w:r>
        <w:rPr>
          <w:color w:val="17212B"/>
          <w:sz w:val="20"/>
          <w:szCs w:val="20"/>
        </w:rPr>
        <w:t xml:space="preserve">Do not claim customer exposure is confirmed unless reviewed asset and service evidence is attached.</w:t>
      </w:r>
    </w:p>
    <w:p>
      <w:pPr>
        <w:pStyle w:val="ListParagraph"/>
        <w:numPr>
          <w:ilvl w:val="0"/>
          <w:numId w:val="1"/>
        </w:numPr>
        <w:spacing w:after="80"/>
      </w:pPr>
      <w:r>
        <w:rPr>
          <w:color w:val="17212B"/>
          <w:sz w:val="20"/>
          <w:szCs w:val="20"/>
        </w:rPr>
        <w:t xml:space="preserve">Do not claim patch applicability, successful remediation, closure, certification, or risk acceptance unless the signed pack and current-state events record those facts.</w:t>
      </w:r>
    </w:p>
    <w:p>
      <w:pPr>
        <w:pStyle w:val="ListParagraph"/>
        <w:numPr>
          <w:ilvl w:val="0"/>
          <w:numId w:val="1"/>
        </w:numPr>
        <w:spacing w:after="80"/>
      </w:pPr>
      <w:r>
        <w:rPr>
          <w:color w:val="17212B"/>
          <w:sz w:val="20"/>
          <w:szCs w:val="20"/>
        </w:rPr>
        <w:t xml:space="preserve">Do not imply PatchForge deployed a patch or approved the decision autonomously.</w:t>
      </w:r>
    </w:p>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0% with percentile 3%.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0% and percentile 3%.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0%</w:t>
      </w:r>
    </w:p>
    <w:p>
      <w:pPr>
        <w:spacing w:after="70"/>
        <w:ind w:left="180"/>
      </w:pPr>
      <w:r>
        <w:rPr>
          <w:b/>
          <w:bCs/>
          <w:color w:val="1D3C5A"/>
          <w:sz w:val="20"/>
          <w:szCs w:val="20"/>
        </w:rPr>
        <w:t xml:space="preserve">EPSS percentile: </w:t>
      </w:r>
      <w:r>
        <w:rPr>
          <w:color w:val="17212B"/>
          <w:sz w:val="20"/>
          <w:szCs w:val="20"/>
        </w:rPr>
        <w:t xml:space="preserve">3%</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4</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PF-20260527-934d6e60</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759d8910d3b99039916ed016812f8528aa037a9ed3b6553bade1774e90ceabc8</w:t>
      </w:r>
    </w:p>
    <w:p>
      <w:pPr>
        <w:spacing w:after="70"/>
        <w:ind w:left="180"/>
      </w:pPr>
      <w:r>
        <w:rPr>
          <w:b/>
          <w:bCs/>
          <w:color w:val="1D3C5A"/>
          <w:sz w:val="20"/>
          <w:szCs w:val="20"/>
        </w:rPr>
        <w:t xml:space="preserve">Evidence references: </w:t>
      </w:r>
      <w:r>
        <w:rPr>
          <w:color w:val="17212B"/>
          <w:sz w:val="20"/>
          <w:szCs w:val="20"/>
        </w:rPr>
        <w:t xml:space="preserve">2</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10</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replay_certificate.json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signed_export.sig</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signed_export.sigmeta.json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Patch Governance Pack</dc:title>
  <dc:creator>DIIaC PatchForge</dc:creator>
  <dc:description>Customer Patch Governance Pack for CVE-2026-48172</dc:description>
  <cp:lastModifiedBy>Un-named</cp:lastModifiedBy>
  <cp:revision>1</cp:revision>
  <dcterms:created xsi:type="dcterms:W3CDTF">2026-05-27T11:13:46.110Z</dcterms:created>
  <dcterms:modified xsi:type="dcterms:W3CDTF">2026-05-27T11:13:46.110Z</dcterms:modified>
</cp:coreProperties>
</file>

<file path=docProps/custom.xml><?xml version="1.0" encoding="utf-8"?>
<Properties xmlns="http://schemas.openxmlformats.org/officeDocument/2006/custom-properties" xmlns:vt="http://schemas.openxmlformats.org/officeDocument/2006/docPropsVTypes"/>
</file>