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Board Vulnerability Remediation Summary</w:t>
      </w:r>
      <w:r>
        <w:rPr>
          <w:color w:val="5E6B76"/>
          <w:sz w:val="20"/>
          <w:szCs w:val="20"/>
        </w:rPr>
        <w:br/>
        <w:t xml:space="preserve">Board and senior leadership | CVE-2026-48172 | Pack PF-20260527-2d9f160a</w:t>
      </w:r>
      <w:r>
        <w:rPr>
          <w:color w:val="17212B"/>
          <w:sz w:val="20"/>
          <w:szCs w:val="20"/>
        </w:rPr>
        <w:br/>
        <w:t xml:space="preserve">Generated 27/05/2026, 13:15:28. Governed posture: Urgent scope confirmation required - final remediation decision blocked pending evidence.. Readiness: Blocked. Final approval not issued.</w:t>
      </w:r>
    </w:p>
    <w:p>
      <w:pPr>
        <w:pStyle w:val="Heading1"/>
      </w:pPr>
      <w:r>
        <w:t xml:space="preserve">Executive Decision Summary</w:t>
      </w:r>
    </w:p>
    <w:p>
      <w:pPr>
        <w:spacing w:after="120"/>
      </w:pPr>
      <w:r>
        <w:t xml:space="preserve">CVE-2026-48172: Urgent scope confirmation required - final remediation decision blocked pending evidence. PatchForge has public-source vulnerability intelligence, but customer asset and service exposure are not yet confirmed. 5 evidence gap(s) remain, and final approval has not been issued.</w:t>
      </w:r>
    </w:p>
    <w:p>
      <w:pPr>
        <w:spacing w:after="120"/>
      </w:pPr>
      <w:r>
        <w:t xml:space="preserve">Final approval not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Urgent scope confirmation required - final remediation decision blocked pending evidence.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Confirm customer exposure and patch applicability before selecting emergency change, patch, mitigation, or risk acceptance.</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Low</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Automated evidence preparation is complete where stated; approval, risk acceptance, patch deployment, and closure remain human-controlled</w:t>
            </w:r>
          </w:p>
        </w:tc>
      </w:tr>
    </w:tbl>
    <w:p>
      <w:pPr>
        <w:pStyle w:val="Heading1"/>
      </w:pPr>
      <w:r>
        <w:t xml:space="preserve">What This Vulnerability Means</w:t>
      </w:r>
    </w:p>
    <w:p>
      <w:pPr>
        <w:spacing w:after="120"/>
      </w:pPr>
      <w:r>
        <w:t xml:space="preserve">LiteSpeed cPanel Plugin contains privilege escalation vulnerability that is exposed via the user-end cPanel plugin, which can be abused by any cPanel user account to execute arbitrary scripts with root privileges. PatchForge treats this as a governance decision until source evidence, affected scope, and human approval are complete.</w:t>
      </w:r>
    </w:p>
    <w:p>
      <w:pPr>
        <w:pStyle w:val="Heading2"/>
      </w:pPr>
      <w:r>
        <w:t xml:space="preserve">Why It Matters Now</w:t>
      </w:r>
    </w:p>
    <w:p>
      <w:pPr>
        <w:spacing w:after="120"/>
      </w:pPr>
      <w:r>
        <w:t xml:space="preserve">It is flagged as known exploited in source-bound intelligence. FIRST EPSS source-bound signal is 0% with percentile 3%. The recorded remediation due date is 2026-05-29.</w:t>
      </w:r>
    </w:p>
    <w:p>
      <w:pPr>
        <w:pStyle w:val="Heading1"/>
      </w:pPr>
      <w:r>
        <w:t xml:space="preserve">Affected Products, Services, and Assets</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Unmapped</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No reviewed asset/service scope</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This is a decision blocker because the organisation cannot safely judge impact or completion.</w:t>
            </w:r>
          </w:p>
        </w:tc>
      </w:tr>
    </w:tbl>
    <w:p>
      <w:pPr>
        <w:pStyle w:val="Heading1"/>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EPSS gives a source-bound probability signal of 0% and percentile 3%. This informs prioritisation but does not prove exploitability in the tenant estate. 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Known exploited signal is present, but EPSS is low. This does not remove the need for scope confirmation. The safe governance question is whether exposure, service impact, patch feasibility, and compensating controls justify patch, mitigation, deferral, or risk acceptance.</w:t>
      </w:r>
    </w:p>
    <w:p>
      <w:pPr>
        <w:spacing w:after="120"/>
      </w:pPr>
      <w:r>
        <w:t xml:space="preserve">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Known exploited signal is present, but EPSS is low. This does not remove the need for scope confirmation.</w:t>
      </w:r>
    </w:p>
    <w:p>
      <w:pPr>
        <w:spacing w:after="70"/>
        <w:ind w:left="180"/>
      </w:pPr>
      <w:r>
        <w:rPr>
          <w:b/>
          <w:bCs/>
          <w:color w:val="1D3C5A"/>
          <w:sz w:val="20"/>
          <w:szCs w:val="20"/>
        </w:rPr>
        <w:t xml:space="preserve">Known exploited signal: </w:t>
      </w:r>
      <w:r>
        <w:rPr>
          <w:color w:val="17212B"/>
          <w:sz w:val="20"/>
          <w:szCs w:val="20"/>
        </w:rPr>
        <w:t xml:space="preserve">Yes, source-bound pending review unless accepted</w:t>
      </w:r>
    </w:p>
    <w:p>
      <w:pPr>
        <w:spacing w:after="70"/>
        <w:ind w:left="180"/>
      </w:pPr>
      <w:r>
        <w:rPr>
          <w:b/>
          <w:bCs/>
          <w:color w:val="1D3C5A"/>
          <w:sz w:val="20"/>
          <w:szCs w:val="20"/>
        </w:rPr>
        <w:t xml:space="preserve">EPSS score: </w:t>
      </w:r>
      <w:r>
        <w:rPr>
          <w:color w:val="17212B"/>
          <w:sz w:val="20"/>
          <w:szCs w:val="20"/>
        </w:rPr>
        <w:t xml:space="preserve">0%</w:t>
      </w:r>
    </w:p>
    <w:p>
      <w:pPr>
        <w:spacing w:after="70"/>
        <w:ind w:left="180"/>
      </w:pPr>
      <w:r>
        <w:rPr>
          <w:b/>
          <w:bCs/>
          <w:color w:val="1D3C5A"/>
          <w:sz w:val="20"/>
          <w:szCs w:val="20"/>
        </w:rPr>
        <w:t xml:space="preserve">EPSS percentile: </w:t>
      </w:r>
      <w:r>
        <w:rPr>
          <w:color w:val="17212B"/>
          <w:sz w:val="20"/>
          <w:szCs w:val="20"/>
        </w:rPr>
        <w:t xml:space="preserve">3%</w:t>
      </w:r>
    </w:p>
    <w:p>
      <w:pPr>
        <w:spacing w:after="70"/>
        <w:ind w:left="180"/>
      </w:pPr>
      <w:r>
        <w:rPr>
          <w:b/>
          <w:bCs/>
          <w:color w:val="1D3C5A"/>
          <w:sz w:val="20"/>
          <w:szCs w:val="20"/>
        </w:rPr>
        <w:t xml:space="preserve">Ransomware campaign use: </w:t>
      </w:r>
      <w:r>
        <w:rPr>
          <w:color w:val="17212B"/>
          <w:sz w:val="20"/>
          <w:szCs w:val="20"/>
        </w:rPr>
        <w:t xml:space="preserve">Unknown</w:t>
      </w:r>
    </w:p>
    <w:p>
      <w:pPr>
        <w:spacing w:after="70"/>
        <w:ind w:left="180"/>
      </w:pPr>
      <w:r>
        <w:rPr>
          <w:b/>
          <w:bCs/>
          <w:color w:val="1D3C5A"/>
          <w:sz w:val="20"/>
          <w:szCs w:val="20"/>
        </w:rPr>
        <w:t xml:space="preserve">Can close gates alone: </w:t>
      </w:r>
      <w:r>
        <w:rPr>
          <w:color w:val="17212B"/>
          <w:sz w:val="20"/>
          <w:szCs w:val="20"/>
        </w:rPr>
        <w:t xml:space="preserve">No</w:t>
      </w:r>
    </w:p>
    <w:p>
      <w:pPr>
        <w:pStyle w:val="Heading1"/>
      </w:pPr>
      <w:r>
        <w:t xml:space="preserve">Recommended Governance Posture</w:t>
      </w:r>
    </w:p>
    <w:p>
      <w:pPr>
        <w:spacing w:after="120"/>
      </w:pPr>
      <w:r>
        <w:t xml:space="preserve">Defer Pending Evidence is the current advisory posture. A known-exploited public-source signal is present, but reviewed customer asset and service exposure are not confirmed.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customer exposure and patch applicability before selecting emergency change, patch, mitigation, or risk acceptance.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vendor patch availability or record mitigation-only posture.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affected asset scope evidence.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business service impact evidence.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Deadline</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Recorded due date: 2026-05-29</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owner</w:t>
            </w:r>
          </w:p>
        </w:tc>
      </w:tr>
    </w:tbl>
    <w:p>
      <w:pPr>
        <w:pStyle w:val="Heading1"/>
      </w:pPr>
      <w:r>
        <w:t xml:space="preserve">Decision Options Matrix</w:t>
      </w:r>
    </w:p>
    <w:p>
      <w:pPr>
        <w:spacing w:after="60" w:before="120"/>
      </w:pPr>
      <w:r>
        <w:rPr>
          <w:b/>
          <w:bCs/>
          <w:color w:val="1D3C5A"/>
          <w:sz w:val="22"/>
          <w:szCs w:val="22"/>
        </w:rPr>
        <w:t xml:space="preserve">Recommended: Urgent Scope Confirmation Required</w:t>
      </w:r>
    </w:p>
    <w:p>
      <w:pPr>
        <w:spacing w:after="70"/>
        <w:ind w:left="220"/>
      </w:pPr>
      <w:r>
        <w:rPr>
          <w:b/>
          <w:bCs/>
          <w:color w:val="1D3C5A"/>
          <w:sz w:val="20"/>
          <w:szCs w:val="20"/>
        </w:rPr>
        <w:t xml:space="preserve">Current status: </w:t>
      </w:r>
      <w:r>
        <w:rPr>
          <w:color w:val="17212B"/>
          <w:sz w:val="20"/>
          <w:szCs w:val="20"/>
        </w:rPr>
        <w:t xml:space="preserve">Recommended Now</w:t>
      </w:r>
    </w:p>
    <w:p>
      <w:pPr>
        <w:spacing w:after="70"/>
        <w:ind w:left="220"/>
      </w:pPr>
      <w:r>
        <w:rPr>
          <w:b/>
          <w:bCs/>
          <w:color w:val="1D3C5A"/>
          <w:sz w:val="20"/>
          <w:szCs w:val="20"/>
        </w:rPr>
        <w:t xml:space="preserve">Reason: </w:t>
      </w:r>
      <w:r>
        <w:rPr>
          <w:color w:val="17212B"/>
          <w:sz w:val="20"/>
          <w:szCs w:val="20"/>
        </w:rPr>
        <w:t xml:space="preserve">Known-exploited public intelligence exists, but customer asset and service exposure are not confirmed.</w:t>
      </w:r>
    </w:p>
    <w:p>
      <w:pPr>
        <w:spacing w:after="70"/>
        <w:ind w:left="220"/>
      </w:pPr>
      <w:r>
        <w:rPr>
          <w:b/>
          <w:bCs/>
          <w:color w:val="1D3C5A"/>
          <w:sz w:val="20"/>
          <w:szCs w:val="20"/>
        </w:rPr>
        <w:t xml:space="preserve">Required evidence: </w:t>
      </w:r>
      <w:r>
        <w:rPr>
          <w:color w:val="17212B"/>
          <w:sz w:val="20"/>
          <w:szCs w:val="20"/>
        </w:rPr>
        <w:t xml:space="preserve">Reviewed asset scope, Reviewed service impact, Source identity review</w:t>
      </w:r>
    </w:p>
    <w:p>
      <w:pPr>
        <w:spacing w:after="70"/>
        <w:ind w:left="220"/>
      </w:pPr>
      <w:r>
        <w:rPr>
          <w:b/>
          <w:bCs/>
          <w:color w:val="1D3C5A"/>
          <w:sz w:val="20"/>
          <w:szCs w:val="20"/>
        </w:rPr>
        <w:t xml:space="preserve">Required approval: </w:t>
      </w:r>
      <w:r>
        <w:rPr>
          <w:color w:val="17212B"/>
          <w:sz w:val="20"/>
          <w:szCs w:val="20"/>
        </w:rPr>
        <w:t xml:space="preserve">Security lead or service owner confirms the affected scope.</w:t>
      </w:r>
    </w:p>
    <w:p>
      <w:pPr>
        <w:spacing w:after="60" w:before="120"/>
      </w:pPr>
      <w:r>
        <w:rPr>
          <w:b/>
          <w:bCs/>
          <w:color w:val="1D3C5A"/>
          <w:sz w:val="22"/>
          <w:szCs w:val="22"/>
        </w:rPr>
        <w:t xml:space="preserve">Emergency Change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Emergency Change Required is blocked pending asset/service exposure and patch applicability.</w:t>
      </w:r>
    </w:p>
    <w:p>
      <w:pPr>
        <w:spacing w:after="70"/>
        <w:ind w:left="220"/>
      </w:pPr>
      <w:r>
        <w:rPr>
          <w:b/>
          <w:bCs/>
          <w:color w:val="1D3C5A"/>
          <w:sz w:val="20"/>
          <w:szCs w:val="20"/>
        </w:rPr>
        <w:t xml:space="preserve">Required evidence: </w:t>
      </w:r>
      <w:r>
        <w:rPr>
          <w:color w:val="17212B"/>
          <w:sz w:val="20"/>
          <w:szCs w:val="20"/>
        </w:rPr>
        <w:t xml:space="preserve">Reviewed affected scope, Patch applicability, Rollback plan, Customer/service impact, Human approval</w:t>
      </w:r>
    </w:p>
    <w:p>
      <w:pPr>
        <w:spacing w:after="70"/>
        <w:ind w:left="220"/>
      </w:pPr>
      <w:r>
        <w:rPr>
          <w:b/>
          <w:bCs/>
          <w:color w:val="1D3C5A"/>
          <w:sz w:val="20"/>
          <w:szCs w:val="20"/>
        </w:rPr>
        <w:t xml:space="preserve">Required approval: </w:t>
      </w:r>
      <w:r>
        <w:rPr>
          <w:color w:val="17212B"/>
          <w:sz w:val="20"/>
          <w:szCs w:val="20"/>
        </w:rPr>
        <w:t xml:space="preserve">CAB/security lead emergency approval.</w:t>
      </w:r>
    </w:p>
    <w:p>
      <w:pPr>
        <w:spacing w:after="60" w:before="120"/>
      </w:pPr>
      <w:r>
        <w:rPr>
          <w:b/>
          <w:bCs/>
          <w:color w:val="1D3C5A"/>
          <w:sz w:val="22"/>
          <w:szCs w:val="22"/>
        </w:rPr>
        <w:t xml:space="preserve">Patch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Patch Required is blocked pending patch availability, feasibility, and reviewed exposure scope.</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 Service owner review</w:t>
      </w:r>
    </w:p>
    <w:p>
      <w:pPr>
        <w:spacing w:after="70"/>
        <w:ind w:left="220"/>
      </w:pPr>
      <w:r>
        <w:rPr>
          <w:b/>
          <w:bCs/>
          <w:color w:val="1D3C5A"/>
          <w:sz w:val="20"/>
          <w:szCs w:val="20"/>
        </w:rPr>
        <w:t xml:space="preserve">Required approval: </w:t>
      </w:r>
      <w:r>
        <w:rPr>
          <w:color w:val="17212B"/>
          <w:sz w:val="20"/>
          <w:szCs w:val="20"/>
        </w:rPr>
        <w:t xml:space="preserve">Change owner, service owner, and CAB/security approval.</w:t>
      </w:r>
    </w:p>
    <w:p>
      <w:pPr>
        <w:spacing w:after="60" w:before="120"/>
      </w:pPr>
      <w:r>
        <w:rPr>
          <w:b/>
          <w:bCs/>
          <w:color w:val="1D3C5A"/>
          <w:sz w:val="22"/>
          <w:szCs w:val="22"/>
        </w:rPr>
        <w:t xml:space="preserve">Mitigate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Mitigate Temporarily is available only if compensating-control evidence is attached and reviewed.</w:t>
      </w:r>
    </w:p>
    <w:p>
      <w:pPr>
        <w:spacing w:after="70"/>
        <w:ind w:left="220"/>
      </w:pPr>
      <w:r>
        <w:rPr>
          <w:b/>
          <w:bCs/>
          <w:color w:val="1D3C5A"/>
          <w:sz w:val="20"/>
          <w:szCs w:val="20"/>
        </w:rPr>
        <w:t xml:space="preserve">Required evidence: </w:t>
      </w:r>
      <w:r>
        <w:rPr>
          <w:color w:val="17212B"/>
          <w:sz w:val="20"/>
          <w:szCs w:val="20"/>
        </w:rPr>
        <w:t xml:space="preserve">Compensating control plan, Control owner, Monitoring evidence, Expiry or reassessment date</w:t>
      </w:r>
    </w:p>
    <w:p>
      <w:pPr>
        <w:spacing w:after="70"/>
        <w:ind w:left="220"/>
      </w:pPr>
      <w:r>
        <w:rPr>
          <w:b/>
          <w:bCs/>
          <w:color w:val="1D3C5A"/>
          <w:sz w:val="20"/>
          <w:szCs w:val="20"/>
        </w:rPr>
        <w:t xml:space="preserve">Required approval: </w:t>
      </w:r>
      <w:r>
        <w:rPr>
          <w:color w:val="17212B"/>
          <w:sz w:val="20"/>
          <w:szCs w:val="20"/>
        </w:rPr>
        <w:t xml:space="preserve">Security lead and service owner approve temporary mitigation.</w:t>
      </w:r>
    </w:p>
    <w:p>
      <w:pPr>
        <w:spacing w:after="60" w:before="120"/>
      </w:pPr>
      <w:r>
        <w:rPr>
          <w:b/>
          <w:bCs/>
          <w:color w:val="1D3C5A"/>
          <w:sz w:val="22"/>
          <w:szCs w:val="22"/>
        </w:rPr>
        <w:t xml:space="preserve">Risk Accept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Risk Accept Temporarily is blocked until risk owner, rationale, expiry, compensating controls, and accountable approval exist.</w:t>
      </w:r>
    </w:p>
    <w:p>
      <w:pPr>
        <w:spacing w:after="70"/>
        <w:ind w:left="220"/>
      </w:pPr>
      <w:r>
        <w:rPr>
          <w:b/>
          <w:bCs/>
          <w:color w:val="1D3C5A"/>
          <w:sz w:val="20"/>
          <w:szCs w:val="20"/>
        </w:rPr>
        <w:t xml:space="preserve">Required evidence: </w:t>
      </w:r>
      <w:r>
        <w:rPr>
          <w:color w:val="17212B"/>
          <w:sz w:val="20"/>
          <w:szCs w:val="20"/>
        </w:rPr>
        <w:t xml:space="preserve">Risk owner, Rationale, Expiry, Compensating controls, Residual risk statement</w:t>
      </w:r>
    </w:p>
    <w:p>
      <w:pPr>
        <w:spacing w:after="70"/>
        <w:ind w:left="220"/>
      </w:pPr>
      <w:r>
        <w:rPr>
          <w:b/>
          <w:bCs/>
          <w:color w:val="1D3C5A"/>
          <w:sz w:val="20"/>
          <w:szCs w:val="20"/>
        </w:rPr>
        <w:t xml:space="preserve">Required approval: </w:t>
      </w:r>
      <w:r>
        <w:rPr>
          <w:color w:val="17212B"/>
          <w:sz w:val="20"/>
          <w:szCs w:val="20"/>
        </w:rPr>
        <w:t xml:space="preserve">Named accountable risk owner approval.</w:t>
      </w:r>
    </w:p>
    <w:p>
      <w:pPr>
        <w:spacing w:after="60" w:before="120"/>
      </w:pPr>
      <w:r>
        <w:rPr>
          <w:b/>
          <w:bCs/>
          <w:color w:val="1D3C5A"/>
          <w:sz w:val="22"/>
          <w:szCs w:val="22"/>
        </w:rPr>
        <w:t xml:space="preserve">Recommended: Defer Pending Evidence</w:t>
      </w:r>
    </w:p>
    <w:p>
      <w:pPr>
        <w:spacing w:after="70"/>
        <w:ind w:left="220"/>
      </w:pPr>
      <w:r>
        <w:rPr>
          <w:b/>
          <w:bCs/>
          <w:color w:val="1D3C5A"/>
          <w:sz w:val="20"/>
          <w:szCs w:val="20"/>
        </w:rPr>
        <w:t xml:space="preserve">Current status: </w:t>
      </w:r>
      <w:r>
        <w:rPr>
          <w:color w:val="17212B"/>
          <w:sz w:val="20"/>
          <w:szCs w:val="20"/>
        </w:rPr>
        <w:t xml:space="preserve">Not Recommended</w:t>
      </w:r>
    </w:p>
    <w:p>
      <w:pPr>
        <w:spacing w:after="70"/>
        <w:ind w:left="220"/>
      </w:pPr>
      <w:r>
        <w:rPr>
          <w:b/>
          <w:bCs/>
          <w:color w:val="1D3C5A"/>
          <w:sz w:val="20"/>
          <w:szCs w:val="20"/>
        </w:rPr>
        <w:t xml:space="preserve">Reason: </w:t>
      </w:r>
      <w:r>
        <w:rPr>
          <w:color w:val="17212B"/>
          <w:sz w:val="20"/>
          <w:szCs w:val="20"/>
        </w:rPr>
        <w:t xml:space="preserve">Plain deferral is too passive for a known-exploited finding; use urgent scope confirmation as the active evidence posture.</w:t>
      </w:r>
    </w:p>
    <w:p>
      <w:pPr>
        <w:spacing w:after="70"/>
        <w:ind w:left="220"/>
      </w:pPr>
      <w:r>
        <w:rPr>
          <w:b/>
          <w:bCs/>
          <w:color w:val="1D3C5A"/>
          <w:sz w:val="20"/>
          <w:szCs w:val="20"/>
        </w:rPr>
        <w:t xml:space="preserve">Required evidence: </w:t>
      </w:r>
      <w:r>
        <w:rPr>
          <w:color w:val="17212B"/>
          <w:sz w:val="20"/>
          <w:szCs w:val="20"/>
        </w:rPr>
        <w:t xml:space="preserve">Reviewed vulnerability identity evidence, Affected asset scope, Business service impact, Patch availability and feasibility, Human source review event</w:t>
      </w:r>
    </w:p>
    <w:p>
      <w:pPr>
        <w:spacing w:after="70"/>
        <w:ind w:left="220"/>
      </w:pPr>
      <w:r>
        <w:rPr>
          <w:b/>
          <w:bCs/>
          <w:color w:val="1D3C5A"/>
          <w:sz w:val="20"/>
          <w:szCs w:val="20"/>
        </w:rPr>
        <w:t xml:space="preserve">Required approval: </w:t>
      </w:r>
      <w:r>
        <w:rPr>
          <w:color w:val="17212B"/>
          <w:sz w:val="20"/>
          <w:szCs w:val="20"/>
        </w:rPr>
        <w:t xml:space="preserve">Evidence owner confirms blocker resolution before approval is requested.</w:t>
      </w:r>
    </w:p>
    <w:p>
      <w:pPr>
        <w:pStyle w:val="Heading1"/>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4</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1"/>
      </w:pPr>
      <w:r>
        <w:t xml:space="preserve">Decision Snapshot</w:t>
      </w:r>
    </w:p>
    <w:p>
      <w:pPr>
        <w:spacing w:after="70"/>
        <w:ind w:left="180"/>
      </w:pPr>
      <w:r>
        <w:rPr>
          <w:b/>
          <w:bCs/>
          <w:color w:val="1D3C5A"/>
          <w:sz w:val="20"/>
          <w:szCs w:val="20"/>
        </w:rPr>
        <w:t xml:space="preserve">Vulnerability: </w:t>
      </w:r>
      <w:r>
        <w:rPr>
          <w:color w:val="17212B"/>
          <w:sz w:val="20"/>
          <w:szCs w:val="20"/>
        </w:rPr>
        <w:t xml:space="preserve">CVE-2026-48172</w:t>
      </w:r>
    </w:p>
    <w:p>
      <w:pPr>
        <w:spacing w:after="70"/>
        <w:ind w:left="180"/>
      </w:pPr>
      <w:r>
        <w:rPr>
          <w:b/>
          <w:bCs/>
          <w:color w:val="1D3C5A"/>
          <w:sz w:val="20"/>
          <w:szCs w:val="20"/>
        </w:rPr>
        <w:t xml:space="preserve">Title: </w:t>
      </w:r>
      <w:r>
        <w:rPr>
          <w:color w:val="17212B"/>
          <w:sz w:val="20"/>
          <w:szCs w:val="20"/>
        </w:rPr>
        <w:t xml:space="preserve">LiteSpeed cPanel Plugin Privilege Escalation Vulnerability</w:t>
      </w:r>
    </w:p>
    <w:p>
      <w:pPr>
        <w:spacing w:after="70"/>
        <w:ind w:left="180"/>
      </w:pPr>
      <w:r>
        <w:rPr>
          <w:b/>
          <w:bCs/>
          <w:color w:val="1D3C5A"/>
          <w:sz w:val="20"/>
          <w:szCs w:val="20"/>
        </w:rPr>
        <w:t xml:space="preserve">Severity: </w:t>
      </w:r>
      <w:r>
        <w:rPr>
          <w:color w:val="17212B"/>
          <w:sz w:val="20"/>
          <w:szCs w:val="20"/>
        </w:rPr>
        <w:t xml:space="preserve">Critical</w:t>
      </w:r>
    </w:p>
    <w:p>
      <w:pPr>
        <w:spacing w:after="70"/>
        <w:ind w:left="180"/>
      </w:pPr>
      <w:r>
        <w:rPr>
          <w:b/>
          <w:bCs/>
          <w:color w:val="1D3C5A"/>
          <w:sz w:val="20"/>
          <w:szCs w:val="20"/>
        </w:rPr>
        <w:t xml:space="preserve">Decision posture: </w:t>
      </w:r>
      <w:r>
        <w:rPr>
          <w:color w:val="17212B"/>
          <w:sz w:val="20"/>
          <w:szCs w:val="20"/>
        </w:rPr>
        <w:t xml:space="preserve">Defer Pending Evidence</w:t>
      </w:r>
    </w:p>
    <w:p>
      <w:pPr>
        <w:spacing w:after="70"/>
        <w:ind w:left="180"/>
      </w:pPr>
      <w:r>
        <w:rPr>
          <w:b/>
          <w:bCs/>
          <w:color w:val="1D3C5A"/>
          <w:sz w:val="20"/>
          <w:szCs w:val="20"/>
        </w:rPr>
        <w:t xml:space="preserve">Readiness: </w:t>
      </w:r>
      <w:r>
        <w:rPr>
          <w:color w:val="17212B"/>
          <w:sz w:val="20"/>
          <w:szCs w:val="20"/>
        </w:rPr>
        <w:t xml:space="preserve">Blocked (0)</w:t>
      </w:r>
    </w:p>
    <w:p>
      <w:pPr>
        <w:spacing w:after="70"/>
        <w:ind w:left="180"/>
      </w:pPr>
      <w:r>
        <w:rPr>
          <w:b/>
          <w:bCs/>
          <w:color w:val="1D3C5A"/>
          <w:sz w:val="20"/>
          <w:szCs w:val="20"/>
        </w:rPr>
        <w:t xml:space="preserve">Final approval: </w:t>
      </w:r>
      <w:r>
        <w:rPr>
          <w:color w:val="17212B"/>
          <w:sz w:val="20"/>
          <w:szCs w:val="20"/>
        </w:rPr>
        <w:t xml:space="preserve">Not issued</w:t>
      </w:r>
    </w:p>
    <w:p>
      <w:pPr>
        <w:spacing w:after="70"/>
        <w:ind w:left="180"/>
      </w:pPr>
      <w:r>
        <w:rPr>
          <w:b/>
          <w:bCs/>
          <w:color w:val="1D3C5A"/>
          <w:sz w:val="20"/>
          <w:szCs w:val="20"/>
        </w:rPr>
        <w:t xml:space="preserve">Source pack: </w:t>
      </w:r>
      <w:r>
        <w:rPr>
          <w:color w:val="17212B"/>
          <w:sz w:val="20"/>
          <w:szCs w:val="20"/>
        </w:rPr>
        <w:t xml:space="preserve">Immutable and preserved</w:t>
      </w:r>
    </w:p>
    <w:p>
      <w:pPr>
        <w:pStyle w:val="Heading1"/>
      </w:pPr>
      <w:r>
        <w:t xml:space="preserve">Evidence, Trust, and Signing</w:t>
      </w:r>
    </w:p>
    <w:p>
      <w:pPr>
        <w:spacing w:after="70"/>
        <w:ind w:left="180"/>
      </w:pPr>
      <w:r>
        <w:rPr>
          <w:b/>
          <w:bCs/>
          <w:color w:val="1D3C5A"/>
          <w:sz w:val="20"/>
          <w:szCs w:val="20"/>
        </w:rPr>
        <w:t xml:space="preserve">Signed pack: </w:t>
      </w:r>
      <w:r>
        <w:rPr>
          <w:color w:val="17212B"/>
          <w:sz w:val="20"/>
          <w:szCs w:val="20"/>
        </w:rPr>
        <w:t xml:space="preserve">PF-20260527-2d9f160a</w:t>
      </w:r>
    </w:p>
    <w:p>
      <w:pPr>
        <w:spacing w:after="70"/>
        <w:ind w:left="180"/>
      </w:pPr>
      <w:r>
        <w:rPr>
          <w:b/>
          <w:bCs/>
          <w:color w:val="1D3C5A"/>
          <w:sz w:val="20"/>
          <w:szCs w:val="20"/>
        </w:rPr>
        <w:t xml:space="preserve">Verification: </w:t>
      </w:r>
      <w:r>
        <w:rPr>
          <w:color w:val="17212B"/>
          <w:sz w:val="20"/>
          <w:szCs w:val="20"/>
        </w:rPr>
        <w:t xml:space="preserve">Verified</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Signature algorithm: </w:t>
      </w:r>
      <w:r>
        <w:rPr>
          <w:color w:val="17212B"/>
          <w:sz w:val="20"/>
          <w:szCs w:val="20"/>
        </w:rPr>
        <w:t xml:space="preserve">ES256</w:t>
      </w:r>
    </w:p>
    <w:p>
      <w:pPr>
        <w:spacing w:after="70"/>
        <w:ind w:left="180"/>
      </w:pPr>
      <w:r>
        <w:rPr>
          <w:b/>
          <w:bCs/>
          <w:color w:val="1D3C5A"/>
          <w:sz w:val="20"/>
          <w:szCs w:val="20"/>
        </w:rPr>
        <w:t xml:space="preserve">Governance manifest SHA-256: </w:t>
      </w:r>
      <w:r>
        <w:rPr>
          <w:color w:val="17212B"/>
          <w:sz w:val="20"/>
          <w:szCs w:val="20"/>
        </w:rPr>
        <w:t xml:space="preserve">4743bcebeb0c61d0b0f46aede06ee88578068711726c48e921c4f376b70551da</w:t>
      </w:r>
    </w:p>
    <w:p>
      <w:pPr>
        <w:spacing w:after="70"/>
        <w:ind w:left="180"/>
      </w:pPr>
      <w:r>
        <w:rPr>
          <w:b/>
          <w:bCs/>
          <w:color w:val="1D3C5A"/>
          <w:sz w:val="20"/>
          <w:szCs w:val="20"/>
        </w:rPr>
        <w:t xml:space="preserve">Evidence references: </w:t>
      </w:r>
      <w:r>
        <w:rPr>
          <w:color w:val="17212B"/>
          <w:sz w:val="20"/>
          <w:szCs w:val="20"/>
        </w:rPr>
        <w:t xml:space="preserve">2</w:t>
      </w:r>
    </w:p>
    <w:p>
      <w:pPr>
        <w:pStyle w:val="Heading1"/>
      </w:pPr>
      <w:r>
        <w:t xml:space="preserve">Source Intelligence</w:t>
      </w:r>
    </w:p>
    <w:p>
      <w:pPr>
        <w:spacing w:after="60" w:before="120"/>
      </w:pPr>
      <w:r>
        <w:rPr>
          <w:b/>
          <w:bCs/>
          <w:color w:val="1D3C5A"/>
          <w:sz w:val="22"/>
          <w:szCs w:val="22"/>
        </w:rPr>
        <w:t xml:space="preserve">src-cisa-kev-CVE-2026-48172</w:t>
      </w:r>
    </w:p>
    <w:p>
      <w:pPr>
        <w:spacing w:after="70"/>
        <w:ind w:left="220"/>
      </w:pPr>
      <w:r>
        <w:rPr>
          <w:b/>
          <w:bCs/>
          <w:color w:val="1D3C5A"/>
          <w:sz w:val="20"/>
          <w:szCs w:val="20"/>
        </w:rPr>
        <w:t xml:space="preserve">Class: </w:t>
      </w:r>
      <w:r>
        <w:rPr>
          <w:color w:val="17212B"/>
          <w:sz w:val="20"/>
          <w:szCs w:val="20"/>
        </w:rPr>
        <w:t xml:space="preserve">Kev Record</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https://www.cisa.gov/sites/default/files/feeds/known_exploited_vulnerabilities.json</w:t>
      </w:r>
    </w:p>
    <w:p>
      <w:pPr>
        <w:spacing w:after="60" w:before="120"/>
      </w:pPr>
      <w:r>
        <w:rPr>
          <w:b/>
          <w:bCs/>
          <w:color w:val="1D3C5A"/>
          <w:sz w:val="22"/>
          <w:szCs w:val="22"/>
        </w:rPr>
        <w:t xml:space="preserve">src-first-epss-CVE-2026-48172-2026-05-26</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pStyle w:val="Heading1"/>
      </w:pPr>
      <w:r>
        <w:t xml:space="preserve">Bayesian Advisory</w:t>
      </w:r>
    </w:p>
    <w:p>
      <w:pPr>
        <w:spacing w:after="70"/>
        <w:ind w:left="180"/>
      </w:pPr>
      <w:r>
        <w:rPr>
          <w:b/>
          <w:bCs/>
          <w:color w:val="1D3C5A"/>
          <w:sz w:val="20"/>
          <w:szCs w:val="20"/>
        </w:rPr>
        <w:t xml:space="preserve">Availability: </w:t>
      </w:r>
      <w:r>
        <w:rPr>
          <w:color w:val="17212B"/>
          <w:sz w:val="20"/>
          <w:szCs w:val="20"/>
        </w:rPr>
        <w:t xml:space="preserve">Generated</w:t>
      </w:r>
    </w:p>
    <w:p>
      <w:pPr>
        <w:spacing w:after="70"/>
        <w:ind w:left="180"/>
      </w:pPr>
      <w:r>
        <w:rPr>
          <w:b/>
          <w:bCs/>
          <w:color w:val="1D3C5A"/>
          <w:sz w:val="20"/>
          <w:szCs w:val="20"/>
        </w:rPr>
        <w:t xml:space="preserve">Advisory boundary: </w:t>
      </w:r>
      <w:r>
        <w:rPr>
          <w:color w:val="17212B"/>
          <w:sz w:val="20"/>
          <w:szCs w:val="20"/>
        </w:rPr>
        <w:t xml:space="preserve">Advisory only; cannot close gates or approve risk</w:t>
      </w:r>
    </w:p>
    <w:p>
      <w:pPr>
        <w:spacing w:after="70"/>
        <w:ind w:left="180"/>
      </w:pPr>
      <w:r>
        <w:rPr>
          <w:b/>
          <w:bCs/>
          <w:color w:val="1D3C5A"/>
          <w:sz w:val="20"/>
          <w:szCs w:val="20"/>
        </w:rPr>
        <w:t xml:space="preserve">Recommended posture: </w:t>
      </w:r>
      <w:r>
        <w:rPr>
          <w:color w:val="17212B"/>
          <w:sz w:val="20"/>
          <w:szCs w:val="20"/>
        </w:rPr>
        <w:t xml:space="preserve">Defer Pending Evidence</w:t>
      </w:r>
    </w:p>
    <w:p>
      <w:pPr>
        <w:spacing w:after="70"/>
        <w:ind w:left="180"/>
      </w:pPr>
      <w:r>
        <w:rPr>
          <w:b/>
          <w:bCs/>
          <w:color w:val="1D3C5A"/>
          <w:sz w:val="20"/>
          <w:szCs w:val="20"/>
        </w:rPr>
        <w:t xml:space="preserve">Exploit probability posterior: </w:t>
      </w:r>
      <w:r>
        <w:rPr>
          <w:color w:val="17212B"/>
          <w:sz w:val="20"/>
          <w:szCs w:val="20"/>
        </w:rPr>
        <w:t xml:space="preserve">50%</w:t>
      </w:r>
    </w:p>
    <w:p>
      <w:pPr>
        <w:spacing w:after="70"/>
        <w:ind w:left="180"/>
      </w:pPr>
      <w:r>
        <w:rPr>
          <w:b/>
          <w:bCs/>
          <w:color w:val="1D3C5A"/>
          <w:sz w:val="20"/>
          <w:szCs w:val="20"/>
        </w:rPr>
        <w:t xml:space="preserve">Business impact posterior: </w:t>
      </w:r>
      <w:r>
        <w:rPr>
          <w:color w:val="17212B"/>
          <w:sz w:val="20"/>
          <w:szCs w:val="20"/>
        </w:rPr>
        <w:t xml:space="preserve">35%</w:t>
      </w:r>
    </w:p>
    <w:p>
      <w:pPr>
        <w:spacing w:after="70"/>
        <w:ind w:left="180"/>
      </w:pPr>
      <w:r>
        <w:rPr>
          <w:b/>
          <w:bCs/>
          <w:color w:val="1D3C5A"/>
          <w:sz w:val="20"/>
          <w:szCs w:val="20"/>
        </w:rPr>
        <w:t xml:space="preserve">Patch feasibility posterior: </w:t>
      </w:r>
      <w:r>
        <w:rPr>
          <w:color w:val="17212B"/>
          <w:sz w:val="20"/>
          <w:szCs w:val="20"/>
        </w:rPr>
        <w:t xml:space="preserve">27%</w:t>
      </w:r>
    </w:p>
    <w:p>
      <w:pPr>
        <w:spacing w:after="70"/>
        <w:ind w:left="180"/>
      </w:pPr>
      <w:r>
        <w:rPr>
          <w:b/>
          <w:bCs/>
          <w:color w:val="1D3C5A"/>
          <w:sz w:val="20"/>
          <w:szCs w:val="20"/>
        </w:rPr>
        <w:t xml:space="preserve">Change risk posterior: </w:t>
      </w:r>
      <w:r>
        <w:rPr>
          <w:color w:val="17212B"/>
          <w:sz w:val="20"/>
          <w:szCs w:val="20"/>
        </w:rPr>
        <w:t xml:space="preserve">52%</w:t>
      </w:r>
    </w:p>
    <w:p>
      <w:pPr>
        <w:spacing w:after="70"/>
        <w:ind w:left="180"/>
      </w:pPr>
      <w:r>
        <w:rPr>
          <w:b/>
          <w:bCs/>
          <w:color w:val="1D3C5A"/>
          <w:sz w:val="20"/>
          <w:szCs w:val="20"/>
        </w:rPr>
        <w:t xml:space="preserve">Deferral risk posterior: </w:t>
      </w:r>
      <w:r>
        <w:rPr>
          <w:color w:val="17212B"/>
          <w:sz w:val="20"/>
          <w:szCs w:val="20"/>
        </w:rPr>
        <w:t xml:space="preserve">54%</w:t>
      </w:r>
    </w:p>
    <w:p>
      <w:pPr>
        <w:pStyle w:val="Heading1"/>
      </w:pPr>
      <w:r>
        <w:t xml:space="preserve">Vendor and Threat Landscape</w:t>
      </w:r>
    </w:p>
    <w:p>
      <w:pPr>
        <w:spacing w:after="70"/>
        <w:ind w:left="180"/>
      </w:pPr>
      <w:r>
        <w:rPr>
          <w:b/>
          <w:bCs/>
          <w:color w:val="1D3C5A"/>
          <w:sz w:val="20"/>
          <w:szCs w:val="20"/>
        </w:rPr>
        <w:t xml:space="preserve">Vendor intelligence: </w:t>
      </w:r>
      <w:r>
        <w:rPr>
          <w:color w:val="17212B"/>
          <w:sz w:val="20"/>
          <w:szCs w:val="20"/>
        </w:rPr>
        <w:t xml:space="preserve">Reviewed vendor advisory evidence has not yet been attached.</w:t>
      </w:r>
    </w:p>
    <w:p>
      <w:pPr>
        <w:spacing w:after="70"/>
        <w:ind w:left="180"/>
      </w:pPr>
      <w:r>
        <w:rPr>
          <w:b/>
          <w:bCs/>
          <w:color w:val="1D3C5A"/>
          <w:sz w:val="20"/>
          <w:szCs w:val="20"/>
        </w:rPr>
        <w:t xml:space="preserve">Vendor applicability: </w:t>
      </w:r>
      <w:r>
        <w:rPr>
          <w:color w:val="17212B"/>
          <w:sz w:val="20"/>
          <w:szCs w:val="20"/>
        </w:rPr>
        <w:t xml:space="preserve">Patch maturity, affected versions, workaround guidance, and remediation applicability remain unverified.</w:t>
      </w:r>
    </w:p>
    <w:p>
      <w:pPr>
        <w:spacing w:after="70"/>
        <w:ind w:left="180"/>
      </w:pPr>
      <w:r>
        <w:rPr>
          <w:b/>
          <w:bCs/>
          <w:color w:val="1D3C5A"/>
          <w:sz w:val="20"/>
          <w:szCs w:val="20"/>
        </w:rPr>
        <w:t xml:space="preserve">Threat landscape: </w:t>
      </w:r>
      <w:r>
        <w:rPr>
          <w:color w:val="17212B"/>
          <w:sz w:val="20"/>
          <w:szCs w:val="20"/>
        </w:rPr>
        <w:t xml:space="preserve">Threat metrics shown below are source-bound public-intelligence signals and do not close hard gates.</w:t>
      </w:r>
    </w:p>
    <w:p>
      <w:pPr>
        <w:spacing w:after="70"/>
        <w:ind w:left="180"/>
      </w:pPr>
      <w:r>
        <w:rPr>
          <w:b/>
          <w:bCs/>
          <w:color w:val="1D3C5A"/>
          <w:sz w:val="20"/>
          <w:szCs w:val="20"/>
        </w:rPr>
        <w:t xml:space="preserve">Active exploitation signals: </w:t>
      </w:r>
      <w:r>
        <w:rPr>
          <w:color w:val="17212B"/>
          <w:sz w:val="20"/>
          <w:szCs w:val="20"/>
        </w:rPr>
        <w:t xml:space="preserve">10</w:t>
      </w:r>
    </w:p>
    <w:p>
      <w:pPr>
        <w:spacing w:after="70"/>
        <w:ind w:left="180"/>
      </w:pPr>
      <w:r>
        <w:rPr>
          <w:b/>
          <w:bCs/>
          <w:color w:val="1D3C5A"/>
          <w:sz w:val="20"/>
          <w:szCs w:val="20"/>
        </w:rPr>
        <w:t xml:space="preserve">Critical open advisories: </w:t>
      </w:r>
      <w:r>
        <w:rPr>
          <w:color w:val="17212B"/>
          <w:sz w:val="20"/>
          <w:szCs w:val="20"/>
        </w:rPr>
        <w:t xml:space="preserve">2</w:t>
      </w:r>
    </w:p>
    <w:p>
      <w:pPr>
        <w:spacing w:after="70"/>
        <w:ind w:left="180"/>
      </w:pPr>
      <w:r>
        <w:rPr>
          <w:b/>
          <w:bCs/>
          <w:color w:val="1D3C5A"/>
          <w:sz w:val="20"/>
          <w:szCs w:val="20"/>
        </w:rPr>
        <w:t xml:space="preserve">Patch maturity: </w:t>
      </w:r>
      <w:r>
        <w:rPr>
          <w:color w:val="17212B"/>
          <w:sz w:val="20"/>
          <w:szCs w:val="20"/>
        </w:rPr>
        <w:t xml:space="preserve">Unknown</w:t>
      </w:r>
    </w:p>
    <w:p>
      <w:pPr>
        <w:spacing w:after="70"/>
        <w:ind w:left="180"/>
      </w:pPr>
      <w:r>
        <w:rPr>
          <w:b/>
          <w:bCs/>
          <w:color w:val="1D3C5A"/>
          <w:sz w:val="20"/>
          <w:szCs w:val="20"/>
        </w:rPr>
        <w:t xml:space="preserve">Source review: </w:t>
      </w:r>
      <w:r>
        <w:rPr>
          <w:color w:val="17212B"/>
          <w:sz w:val="20"/>
          <w:szCs w:val="20"/>
        </w:rPr>
        <w:t xml:space="preserve">Pending review unless explicitly accepted</w:t>
      </w:r>
    </w:p>
    <w:p>
      <w:pPr>
        <w:pStyle w:val="Heading1"/>
      </w:pPr>
      <w:r>
        <w:t xml:space="preserve">Network Vendor Applicability</w:t>
      </w:r>
    </w:p>
    <w:p>
      <w:pPr>
        <w:spacing w:after="120"/>
      </w:pPr>
      <w:r>
        <w:t xml:space="preserve">VendorLens context is attached to this signed pack as source-bound advisory intelligence.</w:t>
      </w:r>
    </w:p>
    <w:p>
      <w:pPr>
        <w:spacing w:after="70"/>
        <w:ind w:left="180"/>
      </w:pPr>
      <w:r>
        <w:rPr>
          <w:b/>
          <w:bCs/>
          <w:color w:val="1D3C5A"/>
          <w:sz w:val="20"/>
          <w:szCs w:val="20"/>
        </w:rPr>
        <w:t xml:space="preserve">Vendor: </w:t>
      </w:r>
      <w:r>
        <w:rPr>
          <w:color w:val="17212B"/>
          <w:sz w:val="20"/>
          <w:szCs w:val="20"/>
        </w:rPr>
        <w:t xml:space="preserve">Fortinet</w:t>
      </w:r>
    </w:p>
    <w:p>
      <w:pPr>
        <w:spacing w:after="70"/>
        <w:ind w:left="180"/>
      </w:pPr>
      <w:r>
        <w:rPr>
          <w:b/>
          <w:bCs/>
          <w:color w:val="1D3C5A"/>
          <w:sz w:val="20"/>
          <w:szCs w:val="20"/>
        </w:rPr>
        <w:t xml:space="preserve">Advisory / CVE: </w:t>
      </w:r>
      <w:r>
        <w:rPr>
          <w:color w:val="17212B"/>
          <w:sz w:val="20"/>
          <w:szCs w:val="20"/>
        </w:rPr>
        <w:t xml:space="preserve">CVE-2026-VENDORLENS-LIVE-001</w:t>
      </w:r>
    </w:p>
    <w:p>
      <w:pPr>
        <w:spacing w:after="70"/>
        <w:ind w:left="180"/>
      </w:pPr>
      <w:r>
        <w:rPr>
          <w:b/>
          <w:bCs/>
          <w:color w:val="1D3C5A"/>
          <w:sz w:val="20"/>
          <w:szCs w:val="20"/>
        </w:rPr>
        <w:t xml:space="preserve">Applicability posture: </w:t>
      </w:r>
      <w:r>
        <w:rPr>
          <w:color w:val="17212B"/>
          <w:sz w:val="20"/>
          <w:szCs w:val="20"/>
        </w:rPr>
        <w:t xml:space="preserve">Requires Review</w:t>
      </w:r>
    </w:p>
    <w:p>
      <w:pPr>
        <w:spacing w:after="70"/>
        <w:ind w:left="180"/>
      </w:pPr>
      <w:r>
        <w:rPr>
          <w:b/>
          <w:bCs/>
          <w:color w:val="1D3C5A"/>
          <w:sz w:val="20"/>
          <w:szCs w:val="20"/>
        </w:rPr>
        <w:t xml:space="preserve">Urgency posture: </w:t>
      </w:r>
      <w:r>
        <w:rPr>
          <w:color w:val="17212B"/>
          <w:sz w:val="20"/>
          <w:szCs w:val="20"/>
        </w:rPr>
        <w:t xml:space="preserve">Urgent Scope Confirmation Required</w:t>
      </w:r>
    </w:p>
    <w:p>
      <w:pPr>
        <w:spacing w:after="70"/>
        <w:ind w:left="180"/>
      </w:pPr>
      <w:r>
        <w:rPr>
          <w:b/>
          <w:bCs/>
          <w:color w:val="1D3C5A"/>
          <w:sz w:val="20"/>
          <w:szCs w:val="20"/>
        </w:rPr>
        <w:t xml:space="preserve">Human review: </w:t>
      </w:r>
      <w:r>
        <w:rPr>
          <w:color w:val="17212B"/>
          <w:sz w:val="20"/>
          <w:szCs w:val="20"/>
        </w:rPr>
        <w:t xml:space="preserve">Required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Customer Configuration Context</w:t>
      </w:r>
    </w:p>
    <w:p>
      <w:pPr>
        <w:spacing w:after="70"/>
        <w:ind w:left="180"/>
      </w:pPr>
      <w:r>
        <w:rPr>
          <w:b/>
          <w:bCs/>
          <w:color w:val="1D3C5A"/>
          <w:sz w:val="20"/>
          <w:szCs w:val="20"/>
        </w:rPr>
        <w:t xml:space="preserve">Asset: </w:t>
      </w:r>
      <w:r>
        <w:rPr>
          <w:color w:val="17212B"/>
          <w:sz w:val="20"/>
          <w:szCs w:val="20"/>
        </w:rPr>
        <w:t xml:space="preserve">net-asset-dd162874-c76a-4a7a-8b54-5f8dbbc614e9</w:t>
      </w:r>
    </w:p>
    <w:p>
      <w:pPr>
        <w:spacing w:after="70"/>
        <w:ind w:left="180"/>
      </w:pPr>
      <w:r>
        <w:rPr>
          <w:b/>
          <w:bCs/>
          <w:color w:val="1D3C5A"/>
          <w:sz w:val="20"/>
          <w:szCs w:val="20"/>
        </w:rPr>
        <w:t xml:space="preserve">Product family: </w:t>
      </w:r>
      <w:r>
        <w:rPr>
          <w:color w:val="17212B"/>
          <w:sz w:val="20"/>
          <w:szCs w:val="20"/>
        </w:rPr>
        <w:t xml:space="preserve">FortiGate</w:t>
      </w:r>
    </w:p>
    <w:p>
      <w:pPr>
        <w:spacing w:after="70"/>
        <w:ind w:left="180"/>
      </w:pPr>
      <w:r>
        <w:rPr>
          <w:b/>
          <w:bCs/>
          <w:color w:val="1D3C5A"/>
          <w:sz w:val="20"/>
          <w:szCs w:val="20"/>
        </w:rPr>
        <w:t xml:space="preserve">Model: </w:t>
      </w:r>
      <w:r>
        <w:rPr>
          <w:color w:val="17212B"/>
          <w:sz w:val="20"/>
          <w:szCs w:val="20"/>
        </w:rPr>
        <w:t xml:space="preserve">FortiGate 100F</w:t>
      </w:r>
    </w:p>
    <w:p>
      <w:pPr>
        <w:spacing w:after="70"/>
        <w:ind w:left="180"/>
      </w:pPr>
      <w:r>
        <w:rPr>
          <w:b/>
          <w:bCs/>
          <w:color w:val="1D3C5A"/>
          <w:sz w:val="20"/>
          <w:szCs w:val="20"/>
        </w:rPr>
        <w:t xml:space="preserve">Firmware / version: </w:t>
      </w:r>
      <w:r>
        <w:rPr>
          <w:color w:val="17212B"/>
          <w:sz w:val="20"/>
          <w:szCs w:val="20"/>
        </w:rPr>
        <w:t xml:space="preserve">7.2.7</w:t>
      </w:r>
    </w:p>
    <w:p>
      <w:pPr>
        <w:spacing w:after="70"/>
        <w:ind w:left="180"/>
      </w:pPr>
      <w:r>
        <w:rPr>
          <w:b/>
          <w:bCs/>
          <w:color w:val="1D3C5A"/>
          <w:sz w:val="20"/>
          <w:szCs w:val="20"/>
        </w:rPr>
        <w:t xml:space="preserve">Enabled features: </w:t>
      </w:r>
      <w:r>
        <w:rPr>
          <w:color w:val="17212B"/>
          <w:sz w:val="20"/>
          <w:szCs w:val="20"/>
        </w:rPr>
        <w:t xml:space="preserve">ipsec_vpn, bgp_edge</w:t>
      </w:r>
    </w:p>
    <w:p>
      <w:pPr>
        <w:spacing w:after="70"/>
        <w:ind w:left="180"/>
      </w:pPr>
      <w:r>
        <w:rPr>
          <w:b/>
          <w:bCs/>
          <w:color w:val="1D3C5A"/>
          <w:sz w:val="20"/>
          <w:szCs w:val="20"/>
        </w:rPr>
        <w:t xml:space="preserve">Disabled features: </w:t>
      </w:r>
      <w:r>
        <w:rPr>
          <w:color w:val="17212B"/>
          <w:sz w:val="20"/>
          <w:szCs w:val="20"/>
        </w:rPr>
        <w:t xml:space="preserve">ssl_vpn, web_management</w:t>
      </w:r>
    </w:p>
    <w:p>
      <w:pPr>
        <w:spacing w:after="70"/>
        <w:ind w:left="180"/>
      </w:pPr>
      <w:r>
        <w:rPr>
          <w:b/>
          <w:bCs/>
          <w:color w:val="1D3C5A"/>
          <w:sz w:val="20"/>
          <w:szCs w:val="20"/>
        </w:rPr>
        <w:t xml:space="preserve">Configuration evidence: </w:t>
      </w:r>
      <w:r>
        <w:rPr>
          <w:color w:val="17212B"/>
          <w:sz w:val="20"/>
          <w:szCs w:val="20"/>
        </w:rPr>
        <w:t xml:space="preserve">asset-owner-attestation-pending</w:t>
      </w:r>
    </w:p>
    <w:p>
      <w:pPr>
        <w:spacing w:after="70"/>
        <w:ind w:left="180"/>
      </w:pPr>
      <w:r>
        <w:rPr>
          <w:b/>
          <w:bCs/>
          <w:color w:val="1D3C5A"/>
          <w:sz w:val="20"/>
          <w:szCs w:val="20"/>
        </w:rPr>
        <w:t xml:space="preserve">Review state: </w:t>
      </w:r>
      <w:r>
        <w:rPr>
          <w:color w:val="17212B"/>
          <w:sz w:val="20"/>
          <w:szCs w:val="20"/>
        </w:rPr>
        <w:t xml:space="preserve">Pending Review</w:t>
      </w:r>
    </w:p>
    <w:p>
      <w:pPr>
        <w:pStyle w:val="Heading2"/>
      </w:pPr>
      <w:r>
        <w:t xml:space="preserve">Affected Feature Assessment</w:t>
      </w:r>
    </w:p>
    <w:p>
      <w:pPr>
        <w:spacing w:after="70"/>
        <w:ind w:left="180"/>
      </w:pPr>
      <w:r>
        <w:rPr>
          <w:b/>
          <w:bCs/>
          <w:color w:val="1D3C5A"/>
          <w:sz w:val="20"/>
          <w:szCs w:val="20"/>
        </w:rPr>
        <w:t xml:space="preserve">Affected feature: </w:t>
      </w:r>
      <w:r>
        <w:rPr>
          <w:color w:val="17212B"/>
          <w:sz w:val="20"/>
          <w:szCs w:val="20"/>
        </w:rPr>
        <w:t xml:space="preserve">Ssl Vpn</w:t>
      </w:r>
    </w:p>
    <w:p>
      <w:pPr>
        <w:spacing w:after="70"/>
        <w:ind w:left="180"/>
      </w:pPr>
      <w:r>
        <w:rPr>
          <w:b/>
          <w:bCs/>
          <w:color w:val="1D3C5A"/>
          <w:sz w:val="20"/>
          <w:szCs w:val="20"/>
        </w:rPr>
        <w:t xml:space="preserve">Affected version status: </w:t>
      </w:r>
      <w:r>
        <w:rPr>
          <w:color w:val="17212B"/>
          <w:sz w:val="20"/>
          <w:szCs w:val="20"/>
        </w:rPr>
        <w:t xml:space="preserve">Affected</w:t>
      </w:r>
    </w:p>
    <w:p>
      <w:pPr>
        <w:spacing w:after="70"/>
        <w:ind w:left="180"/>
      </w:pPr>
      <w:r>
        <w:rPr>
          <w:b/>
          <w:bCs/>
          <w:color w:val="1D3C5A"/>
          <w:sz w:val="20"/>
          <w:szCs w:val="20"/>
        </w:rPr>
        <w:t xml:space="preserve">Affected feature status: </w:t>
      </w:r>
      <w:r>
        <w:rPr>
          <w:color w:val="17212B"/>
          <w:sz w:val="20"/>
          <w:szCs w:val="20"/>
        </w:rPr>
        <w:t xml:space="preserve">Disabled Unreviewed</w:t>
      </w:r>
    </w:p>
    <w:p>
      <w:pPr>
        <w:spacing w:after="70"/>
        <w:ind w:left="180"/>
      </w:pPr>
      <w:r>
        <w:rPr>
          <w:b/>
          <w:bCs/>
          <w:color w:val="1D3C5A"/>
          <w:sz w:val="20"/>
          <w:szCs w:val="20"/>
        </w:rPr>
        <w:t xml:space="preserve">Feature enabled status: </w:t>
      </w:r>
      <w:r>
        <w:rPr>
          <w:color w:val="17212B"/>
          <w:sz w:val="20"/>
          <w:szCs w:val="20"/>
        </w:rPr>
        <w:t xml:space="preserve">Disabled Unreviewed</w:t>
      </w:r>
    </w:p>
    <w:p>
      <w:pPr>
        <w:pStyle w:val="Heading2"/>
      </w:pPr>
      <w:r>
        <w:t xml:space="preserve">Exposure Assessment</w:t>
      </w:r>
    </w:p>
    <w:p>
      <w:pPr>
        <w:spacing w:after="70"/>
        <w:ind w:left="180"/>
      </w:pPr>
      <w:r>
        <w:rPr>
          <w:b/>
          <w:bCs/>
          <w:color w:val="1D3C5A"/>
          <w:sz w:val="20"/>
          <w:szCs w:val="20"/>
        </w:rPr>
        <w:t xml:space="preserve">Internet-facing: </w:t>
      </w:r>
      <w:r>
        <w:rPr>
          <w:color w:val="17212B"/>
          <w:sz w:val="20"/>
          <w:szCs w:val="20"/>
        </w:rPr>
        <w:t xml:space="preserve">Yes, source-bound pending review unless accepted</w:t>
      </w:r>
    </w:p>
    <w:p>
      <w:pPr>
        <w:spacing w:after="70"/>
        <w:ind w:left="180"/>
      </w:pPr>
      <w:r>
        <w:rPr>
          <w:b/>
          <w:bCs/>
          <w:color w:val="1D3C5A"/>
          <w:sz w:val="20"/>
          <w:szCs w:val="20"/>
        </w:rPr>
        <w:t xml:space="preserve">Management exposure: </w:t>
      </w:r>
      <w:r>
        <w:rPr>
          <w:color w:val="17212B"/>
          <w:sz w:val="20"/>
          <w:szCs w:val="20"/>
        </w:rPr>
        <w:t xml:space="preserve">Internal</w:t>
      </w:r>
    </w:p>
    <w:p>
      <w:pPr>
        <w:spacing w:after="70"/>
        <w:ind w:left="180"/>
      </w:pPr>
      <w:r>
        <w:rPr>
          <w:b/>
          <w:bCs/>
          <w:color w:val="1D3C5A"/>
          <w:sz w:val="20"/>
          <w:szCs w:val="20"/>
        </w:rPr>
        <w:t xml:space="preserve">Exposure status: </w:t>
      </w:r>
      <w:r>
        <w:rPr>
          <w:color w:val="17212B"/>
          <w:sz w:val="20"/>
          <w:szCs w:val="20"/>
        </w:rPr>
        <w:t xml:space="preserve">Internet Or Management Exposed</w:t>
      </w:r>
    </w:p>
    <w:p>
      <w:pPr>
        <w:pStyle w:val="Heading2"/>
      </w:pPr>
      <w:r>
        <w:t xml:space="preserve">Evidence Required to Prove Not Applicable</w:t>
      </w:r>
    </w:p>
    <w:p>
      <w:pPr>
        <w:spacing w:after="60" w:before="120"/>
      </w:pPr>
      <w:r>
        <w:rPr>
          <w:b/>
          <w:bCs/>
          <w:color w:val="1D3C5A"/>
          <w:sz w:val="22"/>
          <w:szCs w:val="22"/>
        </w:rPr>
        <w:t xml:space="preserve">Feature Disabled Review</w:t>
      </w:r>
    </w:p>
    <w:p>
      <w:pPr>
        <w:spacing w:after="70"/>
        <w:ind w:left="220"/>
      </w:pPr>
      <w:r>
        <w:rPr>
          <w:b/>
          <w:bCs/>
          <w:color w:val="1D3C5A"/>
          <w:sz w:val="20"/>
          <w:szCs w:val="20"/>
        </w:rPr>
        <w:t xml:space="preserve">Plain English gap: </w:t>
      </w:r>
      <w:r>
        <w:rPr>
          <w:color w:val="17212B"/>
          <w:sz w:val="20"/>
          <w:szCs w:val="20"/>
        </w:rPr>
        <w:t xml:space="preserve">ssl vpn is recorded as disabled, but that configuration evidence is not reviewed.</w:t>
      </w:r>
    </w:p>
    <w:p>
      <w:pPr>
        <w:spacing w:after="70"/>
        <w:ind w:left="220"/>
      </w:pPr>
      <w:r>
        <w:rPr>
          <w:b/>
          <w:bCs/>
          <w:color w:val="1D3C5A"/>
          <w:sz w:val="20"/>
          <w:szCs w:val="20"/>
        </w:rPr>
        <w:t xml:space="preserve">Why it matters: </w:t>
      </w:r>
      <w:r>
        <w:rPr>
          <w:color w:val="17212B"/>
          <w:sz w:val="20"/>
          <w:szCs w:val="20"/>
        </w:rPr>
        <w:t xml:space="preserve">PatchForge cannot support an accountable customer/CAB decision without reviewed evidence for this point.</w:t>
      </w:r>
    </w:p>
    <w:p>
      <w:pPr>
        <w:spacing w:after="70"/>
        <w:ind w:left="220"/>
      </w:pPr>
      <w:r>
        <w:rPr>
          <w:b/>
          <w:bCs/>
          <w:color w:val="1D3C5A"/>
          <w:sz w:val="20"/>
          <w:szCs w:val="20"/>
        </w:rPr>
        <w:t xml:space="preserve">Required evidence: </w:t>
      </w:r>
      <w:r>
        <w:rPr>
          <w:color w:val="17212B"/>
          <w:sz w:val="20"/>
          <w:szCs w:val="20"/>
        </w:rPr>
        <w:t xml:space="preserve">Reviewed configuration export, change record, service owner attestation, or device configuration evidence.</w:t>
      </w:r>
    </w:p>
    <w:p>
      <w:pPr>
        <w:spacing w:after="70"/>
        <w:ind w:left="220"/>
      </w:pPr>
      <w:r>
        <w:rPr>
          <w:b/>
          <w:bCs/>
          <w:color w:val="1D3C5A"/>
          <w:sz w:val="20"/>
          <w:szCs w:val="20"/>
        </w:rPr>
        <w:t xml:space="preserve">Suggested owner: </w:t>
      </w:r>
      <w:r>
        <w:rPr>
          <w:color w:val="17212B"/>
          <w:sz w:val="20"/>
          <w:szCs w:val="20"/>
        </w:rPr>
        <w:t xml:space="preserve">Network engineering lead</w:t>
      </w:r>
    </w:p>
    <w:p>
      <w:pPr>
        <w:spacing w:after="70"/>
        <w:ind w:left="220"/>
      </w:pPr>
      <w:r>
        <w:rPr>
          <w:b/>
          <w:bCs/>
          <w:color w:val="1D3C5A"/>
          <w:sz w:val="20"/>
          <w:szCs w:val="20"/>
        </w:rPr>
        <w:t xml:space="preserve">Next decision gate: </w:t>
      </w:r>
      <w:r>
        <w:rPr>
          <w:color w:val="17212B"/>
          <w:sz w:val="20"/>
          <w:szCs w:val="20"/>
        </w:rPr>
        <w:t xml:space="preserve">Configuration applicability review</w:t>
      </w:r>
    </w:p>
    <w:p>
      <w:pPr>
        <w:spacing w:after="60" w:before="120"/>
      </w:pPr>
      <w:r>
        <w:rPr>
          <w:b/>
          <w:bCs/>
          <w:color w:val="1D3C5A"/>
          <w:sz w:val="22"/>
          <w:szCs w:val="22"/>
        </w:rPr>
        <w:t xml:space="preserve">Advisory Source Review</w:t>
      </w:r>
    </w:p>
    <w:p>
      <w:pPr>
        <w:spacing w:after="70"/>
        <w:ind w:left="220"/>
      </w:pPr>
      <w:r>
        <w:rPr>
          <w:b/>
          <w:bCs/>
          <w:color w:val="1D3C5A"/>
          <w:sz w:val="20"/>
          <w:szCs w:val="20"/>
        </w:rPr>
        <w:t xml:space="preserve">Plain English gap: </w:t>
      </w:r>
      <w:r>
        <w:rPr>
          <w:color w:val="17212B"/>
          <w:sz w:val="20"/>
          <w:szCs w:val="20"/>
        </w:rPr>
        <w:t xml:space="preserve">The vendor/CVE source record has not been accepted as positive evidence.</w:t>
      </w:r>
    </w:p>
    <w:p>
      <w:pPr>
        <w:spacing w:after="70"/>
        <w:ind w:left="220"/>
      </w:pPr>
      <w:r>
        <w:rPr>
          <w:b/>
          <w:bCs/>
          <w:color w:val="1D3C5A"/>
          <w:sz w:val="20"/>
          <w:szCs w:val="20"/>
        </w:rPr>
        <w:t xml:space="preserve">Why it matters: </w:t>
      </w:r>
      <w:r>
        <w:rPr>
          <w:color w:val="17212B"/>
          <w:sz w:val="20"/>
          <w:szCs w:val="20"/>
        </w:rPr>
        <w:t xml:space="preserve">PatchForge cannot support an accountable customer/CAB decision without reviewed evidence for this point.</w:t>
      </w:r>
    </w:p>
    <w:p>
      <w:pPr>
        <w:spacing w:after="70"/>
        <w:ind w:left="220"/>
      </w:pPr>
      <w:r>
        <w:rPr>
          <w:b/>
          <w:bCs/>
          <w:color w:val="1D3C5A"/>
          <w:sz w:val="20"/>
          <w:szCs w:val="20"/>
        </w:rPr>
        <w:t xml:space="preserve">Required evidence: </w:t>
      </w:r>
      <w:r>
        <w:rPr>
          <w:color w:val="17212B"/>
          <w:sz w:val="20"/>
          <w:szCs w:val="20"/>
        </w:rPr>
        <w:t xml:space="preserve">Named reviewer event accepting the source record, affected versions, affected feature, and source provenance.</w:t>
      </w:r>
    </w:p>
    <w:p>
      <w:pPr>
        <w:spacing w:after="70"/>
        <w:ind w:left="220"/>
      </w:pPr>
      <w:r>
        <w:rPr>
          <w:b/>
          <w:bCs/>
          <w:color w:val="1D3C5A"/>
          <w:sz w:val="20"/>
          <w:szCs w:val="20"/>
        </w:rPr>
        <w:t xml:space="preserve">Suggested owner: </w:t>
      </w:r>
      <w:r>
        <w:rPr>
          <w:color w:val="17212B"/>
          <w:sz w:val="20"/>
          <w:szCs w:val="20"/>
        </w:rPr>
        <w:t xml:space="preserve">Security lead</w:t>
      </w:r>
    </w:p>
    <w:p>
      <w:pPr>
        <w:spacing w:after="70"/>
        <w:ind w:left="220"/>
      </w:pPr>
      <w:r>
        <w:rPr>
          <w:b/>
          <w:bCs/>
          <w:color w:val="1D3C5A"/>
          <w:sz w:val="20"/>
          <w:szCs w:val="20"/>
        </w:rPr>
        <w:t xml:space="preserve">Next decision gate: </w:t>
      </w:r>
      <w:r>
        <w:rPr>
          <w:color w:val="17212B"/>
          <w:sz w:val="20"/>
          <w:szCs w:val="20"/>
        </w:rPr>
        <w:t xml:space="preserve">Source review</w:t>
      </w:r>
    </w:p>
    <w:p>
      <w:pPr>
        <w:pStyle w:val="Heading2"/>
      </w:pPr>
      <w:r>
        <w:t xml:space="preserve">Urgent Patch / Mitigation / Scope Confirmation Recommendation</w:t>
      </w:r>
    </w:p>
    <w:p>
      <w:pPr>
        <w:spacing w:after="120"/>
      </w:pPr>
      <w:r>
        <w:t xml:space="preserve">Confirm vendor advisory source, customer asset, firmware, feature, and exposure evidence.</w:t>
      </w:r>
    </w:p>
    <w:p>
      <w:pPr>
        <w:pStyle w:val="Heading2"/>
      </w:pPr>
      <w:r>
        <w:t xml:space="preserve">SRA/AIP Chat Summary</w:t>
      </w:r>
    </w:p>
    <w:p>
      <w:pPr>
        <w:spacing w:after="70"/>
        <w:ind w:left="180"/>
      </w:pPr>
      <w:r>
        <w:rPr>
          <w:b/>
          <w:bCs/>
          <w:color w:val="1D3C5A"/>
          <w:sz w:val="20"/>
          <w:szCs w:val="20"/>
        </w:rPr>
        <w:t xml:space="preserve">Session: </w:t>
      </w:r>
      <w:r>
        <w:rPr>
          <w:color w:val="17212B"/>
          <w:sz w:val="20"/>
          <w:szCs w:val="20"/>
        </w:rPr>
        <w:t xml:space="preserve">vl-chat-1779887623314-a7f2ec78</w:t>
      </w:r>
    </w:p>
    <w:p>
      <w:pPr>
        <w:spacing w:after="70"/>
        <w:ind w:left="180"/>
      </w:pPr>
      <w:r>
        <w:rPr>
          <w:b/>
          <w:bCs/>
          <w:color w:val="1D3C5A"/>
          <w:sz w:val="20"/>
          <w:szCs w:val="20"/>
        </w:rPr>
        <w:t xml:space="preserve">Short answer: </w:t>
      </w:r>
      <w:r>
        <w:rPr>
          <w:color w:val="17212B"/>
          <w:sz w:val="20"/>
          <w:szCs w:val="20"/>
        </w:rPr>
        <w:t xml:space="preserve">PatchForge cannot safely declare this configuration unaffected yet; complete scope and configuration evidence review first.</w:t>
      </w:r>
    </w:p>
    <w:p>
      <w:pPr>
        <w:spacing w:after="70"/>
        <w:ind w:left="180"/>
      </w:pPr>
      <w:r>
        <w:rPr>
          <w:b/>
          <w:bCs/>
          <w:color w:val="1D3C5A"/>
          <w:sz w:val="20"/>
          <w:szCs w:val="20"/>
        </w:rPr>
        <w:t xml:space="preserve">Governed posture: </w:t>
      </w:r>
      <w:r>
        <w:rPr>
          <w:color w:val="17212B"/>
          <w:sz w:val="20"/>
          <w:szCs w:val="20"/>
        </w:rPr>
        <w:t xml:space="preserve">Urgent Scope Confirmation Required</w:t>
      </w:r>
    </w:p>
    <w:p>
      <w:pPr>
        <w:spacing w:after="70"/>
        <w:ind w:left="180"/>
      </w:pPr>
      <w:r>
        <w:rPr>
          <w:b/>
          <w:bCs/>
          <w:color w:val="1D3C5A"/>
          <w:sz w:val="20"/>
          <w:szCs w:val="20"/>
        </w:rPr>
        <w:t xml:space="preserve">Decision not allowed yet: </w:t>
      </w:r>
      <w:r>
        <w:rPr>
          <w:color w:val="17212B"/>
          <w:sz w:val="20"/>
          <w:szCs w:val="20"/>
        </w:rPr>
        <w:t xml:space="preserve">Final remediation, risk acceptance, closure, and not-applicable decisions cannot be issued until the evidence gaps are resolved and a human reviewer approves the outcome.</w:t>
      </w:r>
    </w:p>
    <w:p>
      <w:pPr>
        <w:pStyle w:val="Heading1"/>
      </w:pPr>
      <w:r>
        <w:t xml:space="preserve">Blockers and Required Human Actions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Owner: </w:t>
      </w:r>
      <w:r>
        <w:rPr>
          <w:color w:val="17212B"/>
          <w:sz w:val="20"/>
          <w:szCs w:val="20"/>
        </w:rPr>
        <w:t xml:space="preserve">Security lead or vulnerability manager</w:t>
      </w:r>
    </w:p>
    <w:p>
      <w:pPr>
        <w:spacing w:after="70"/>
        <w:ind w:left="220"/>
      </w:pPr>
      <w:r>
        <w:rPr>
          <w:b/>
          <w:bCs/>
          <w:color w:val="1D3C5A"/>
          <w:sz w:val="20"/>
          <w:szCs w:val="20"/>
        </w:rPr>
        <w:t xml:space="preserve">Required outcome: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Next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Owner: </w:t>
      </w:r>
      <w:r>
        <w:rPr>
          <w:color w:val="17212B"/>
          <w:sz w:val="20"/>
          <w:szCs w:val="20"/>
        </w:rPr>
        <w:t xml:space="preserve">Asset owner or infrastructure lead</w:t>
      </w:r>
    </w:p>
    <w:p>
      <w:pPr>
        <w:spacing w:after="70"/>
        <w:ind w:left="220"/>
      </w:pPr>
      <w:r>
        <w:rPr>
          <w:b/>
          <w:bCs/>
          <w:color w:val="1D3C5A"/>
          <w:sz w:val="20"/>
          <w:szCs w:val="20"/>
        </w:rPr>
        <w:t xml:space="preserve">Required outcome: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Next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Owner: </w:t>
      </w:r>
      <w:r>
        <w:rPr>
          <w:color w:val="17212B"/>
          <w:sz w:val="20"/>
          <w:szCs w:val="20"/>
        </w:rPr>
        <w:t xml:space="preserve">Service owner</w:t>
      </w:r>
    </w:p>
    <w:p>
      <w:pPr>
        <w:spacing w:after="70"/>
        <w:ind w:left="220"/>
      </w:pPr>
      <w:r>
        <w:rPr>
          <w:b/>
          <w:bCs/>
          <w:color w:val="1D3C5A"/>
          <w:sz w:val="20"/>
          <w:szCs w:val="20"/>
        </w:rPr>
        <w:t xml:space="preserve">Required outcome: </w:t>
      </w:r>
      <w:r>
        <w:rPr>
          <w:color w:val="17212B"/>
          <w:sz w:val="20"/>
          <w:szCs w:val="20"/>
        </w:rPr>
        <w:t xml:space="preserve">Service map, customer-facing flag, SLA/OLA impact, service owner.</w:t>
      </w:r>
    </w:p>
    <w:p>
      <w:pPr>
        <w:spacing w:after="70"/>
        <w:ind w:left="220"/>
      </w:pPr>
      <w:r>
        <w:rPr>
          <w:b/>
          <w:bCs/>
          <w:color w:val="1D3C5A"/>
          <w:sz w:val="20"/>
          <w:szCs w:val="20"/>
        </w:rPr>
        <w:t xml:space="preserve">Next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Owner: </w:t>
      </w:r>
      <w:r>
        <w:rPr>
          <w:color w:val="17212B"/>
          <w:sz w:val="20"/>
          <w:szCs w:val="20"/>
        </w:rPr>
        <w:t xml:space="preserve">Change owner or platform engineer</w:t>
      </w:r>
    </w:p>
    <w:p>
      <w:pPr>
        <w:spacing w:after="70"/>
        <w:ind w:left="220"/>
      </w:pPr>
      <w:r>
        <w:rPr>
          <w:b/>
          <w:bCs/>
          <w:color w:val="1D3C5A"/>
          <w:sz w:val="20"/>
          <w:szCs w:val="20"/>
        </w:rPr>
        <w:t xml:space="preserve">Required outcome: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Next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Owner: </w:t>
      </w:r>
      <w:r>
        <w:rPr>
          <w:color w:val="17212B"/>
          <w:sz w:val="20"/>
          <w:szCs w:val="20"/>
        </w:rPr>
        <w:t xml:space="preserve">Security lead or CAB reviewer</w:t>
      </w:r>
    </w:p>
    <w:p>
      <w:pPr>
        <w:spacing w:after="70"/>
        <w:ind w:left="220"/>
      </w:pPr>
      <w:r>
        <w:rPr>
          <w:b/>
          <w:bCs/>
          <w:color w:val="1D3C5A"/>
          <w:sz w:val="20"/>
          <w:szCs w:val="20"/>
        </w:rPr>
        <w:t xml:space="preserve">Required outcome: </w:t>
      </w:r>
      <w:r>
        <w:rPr>
          <w:color w:val="17212B"/>
          <w:sz w:val="20"/>
          <w:szCs w:val="20"/>
        </w:rPr>
        <w:t xml:space="preserve">Named reviewer decision accepting or rejecting source records.</w:t>
      </w:r>
    </w:p>
    <w:p>
      <w:pPr>
        <w:spacing w:after="70"/>
        <w:ind w:left="220"/>
      </w:pPr>
      <w:r>
        <w:rPr>
          <w:b/>
          <w:bCs/>
          <w:color w:val="1D3C5A"/>
          <w:sz w:val="20"/>
          <w:szCs w:val="20"/>
        </w:rPr>
        <w:t xml:space="preserve">Next gate: </w:t>
      </w:r>
      <w:r>
        <w:rPr>
          <w:color w:val="17212B"/>
          <w:sz w:val="20"/>
          <w:szCs w:val="20"/>
        </w:rPr>
        <w:t xml:space="preserve">Human evidence review</w:t>
      </w:r>
    </w:p>
    <w:p>
      <w:pPr>
        <w:spacing w:after="60" w:before="120"/>
      </w:pPr>
      <w:r>
        <w:rPr>
          <w:b/>
          <w:bCs/>
          <w:color w:val="1D3C5A"/>
          <w:sz w:val="22"/>
          <w:szCs w:val="22"/>
        </w:rPr>
        <w:t xml:space="preserve">Human approval</w:t>
      </w:r>
    </w:p>
    <w:p>
      <w:pPr>
        <w:spacing w:after="70"/>
        <w:ind w:left="220"/>
      </w:pPr>
      <w:r>
        <w:rPr>
          <w:b/>
          <w:bCs/>
          <w:color w:val="1D3C5A"/>
          <w:sz w:val="20"/>
          <w:szCs w:val="20"/>
        </w:rPr>
        <w:t xml:space="preserve">Owner: </w:t>
      </w:r>
      <w:r>
        <w:rPr>
          <w:color w:val="17212B"/>
          <w:sz w:val="20"/>
          <w:szCs w:val="20"/>
        </w:rPr>
        <w:t xml:space="preserve">CAB / security lead</w:t>
      </w:r>
    </w:p>
    <w:p>
      <w:pPr>
        <w:spacing w:after="70"/>
        <w:ind w:left="220"/>
      </w:pPr>
      <w:r>
        <w:rPr>
          <w:b/>
          <w:bCs/>
          <w:color w:val="1D3C5A"/>
          <w:sz w:val="20"/>
          <w:szCs w:val="20"/>
        </w:rPr>
        <w:t xml:space="preserve">Required outcome: </w:t>
      </w:r>
      <w:r>
        <w:rPr>
          <w:color w:val="17212B"/>
          <w:sz w:val="20"/>
          <w:szCs w:val="20"/>
        </w:rPr>
        <w:t xml:space="preserve">Explicit approval remains required</w:t>
      </w:r>
    </w:p>
    <w:p>
      <w:pPr>
        <w:pStyle w:val="Heading1"/>
      </w:pPr>
      <w:r>
        <w:t xml:space="preserve">Automated Governance Analysis Completed</w:t>
      </w:r>
    </w:p>
    <w:p>
      <w:pPr>
        <w:pBdr>
          <w:left w:val="single" w:color="B7791F" w:sz="16"/>
        </w:pBdr>
        <w:shd w:fill="FFF6E4" w:val="clear"/>
        <w:spacing w:after="180" w:before="80"/>
        <w:ind w:left="160"/>
      </w:pPr>
      <w:r>
        <w:rPr>
          <w:b/>
          <w:bCs/>
          <w:color w:val="17212B"/>
        </w:rPr>
        <w:t xml:space="preserve">Human approval remains required. PatchForge does not approve CAB decisions, risk acceptance, patch deployment, or closure autonomously.</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Applied governance boundary</w:t>
      </w:r>
    </w:p>
    <w:p>
      <w:pPr>
        <w:pStyle w:val="ListParagraph"/>
        <w:numPr>
          <w:ilvl w:val="0"/>
          <w:numId w:val="1"/>
        </w:numPr>
        <w:spacing w:after="80"/>
      </w:pPr>
      <w:r>
        <w:rPr>
          <w:color w:val="17212B"/>
          <w:sz w:val="20"/>
          <w:szCs w:val="20"/>
        </w:rPr>
        <w:t xml:space="preserve">Correlated vendor/KEV advisory context</w:t>
      </w:r>
    </w:p>
    <w:p>
      <w:pPr>
        <w:pStyle w:val="ListParagraph"/>
        <w:numPr>
          <w:ilvl w:val="0"/>
          <w:numId w:val="1"/>
        </w:numPr>
        <w:spacing w:after="80"/>
      </w:pPr>
      <w:r>
        <w:rPr>
          <w:color w:val="17212B"/>
          <w:sz w:val="20"/>
          <w:szCs w:val="20"/>
        </w:rPr>
        <w:t xml:space="preserve">Attached exploit-probability signal</w:t>
      </w:r>
    </w:p>
    <w:p>
      <w:pPr>
        <w:pStyle w:val="ListParagraph"/>
        <w:numPr>
          <w:ilvl w:val="0"/>
          <w:numId w:val="1"/>
        </w:numPr>
        <w:spacing w:after="80"/>
      </w:pPr>
      <w:r>
        <w:rPr>
          <w:color w:val="17212B"/>
          <w:sz w:val="20"/>
          <w:szCs w:val="20"/>
        </w:rPr>
        <w:t xml:space="preserve">Generated Bayesian advisory snapshot</w:t>
      </w:r>
    </w:p>
    <w:p>
      <w:pPr>
        <w:pStyle w:val="ListParagraph"/>
        <w:numPr>
          <w:ilvl w:val="0"/>
          <w:numId w:val="1"/>
        </w:numPr>
        <w:spacing w:after="80"/>
      </w:pPr>
      <w:r>
        <w:rPr>
          <w:color w:val="17212B"/>
          <w:sz w:val="20"/>
          <w:szCs w:val="20"/>
        </w:rPr>
        <w:t xml:space="preserve">Recorded live source-feed refresh history</w:t>
      </w:r>
    </w:p>
    <w:p>
      <w:pPr>
        <w:pStyle w:val="Heading1"/>
      </w:pPr>
      <w:r>
        <w:t xml:space="preserve">Human Decisions Still Required</w:t>
      </w:r>
    </w:p>
    <w:p>
      <w:pPr>
        <w:pStyle w:val="ListParagraph"/>
        <w:numPr>
          <w:ilvl w:val="0"/>
          <w:numId w:val="1"/>
        </w:numPr>
        <w:spacing w:after="80"/>
      </w:pPr>
      <w:r>
        <w:rPr>
          <w:color w:val="17212B"/>
          <w:sz w:val="20"/>
          <w:szCs w:val="20"/>
        </w:rPr>
        <w:t xml:space="preserve">Review or attach missing evidence: Reviewed vulnerability identity evidence, Affected asset scope, Business service impact, Patch availability and feasibility, Human source review event.</w:t>
      </w:r>
    </w:p>
    <w:p>
      <w:pPr>
        <w:pStyle w:val="ListParagraph"/>
        <w:numPr>
          <w:ilvl w:val="0"/>
          <w:numId w:val="1"/>
        </w:numPr>
        <w:spacing w:after="80"/>
      </w:pPr>
      <w:r>
        <w:rPr>
          <w:color w:val="17212B"/>
          <w:sz w:val="20"/>
          <w:szCs w:val="20"/>
        </w:rPr>
        <w:t xml:space="preserve">Issue or withhold CAB/security/service-owner approval. PatchForge will not approve automatically.</w:t>
      </w:r>
    </w:p>
    <w:p>
      <w:pPr>
        <w:pStyle w:val="Heading1"/>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affected_asset_scope.json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compensating_controls_plan.json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config_applicability_assessment.json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customer_network_asset_snapshot.json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exploitability_assessment.json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network_vendor_profile_snapshot.json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patch_change_readiness.json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patch_feasibility_assessment.json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patch_prior_update_proposal.json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patch_prior_usage_manifest.json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patch_risk_acceptance_state.json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Vulnerability Remediation Summary</dc:title>
  <dc:creator>DIIaC PatchForge</dc:creator>
  <dc:description>Board Vulnerability Remediation Summary for CVE-2026-48172</dc:description>
  <cp:lastModifiedBy>Un-named</cp:lastModifiedBy>
  <cp:revision>1</cp:revision>
  <dcterms:created xsi:type="dcterms:W3CDTF">2026-05-27T13:15:28.197Z</dcterms:created>
  <dcterms:modified xsi:type="dcterms:W3CDTF">2026-05-27T13:15:28.197Z</dcterms:modified>
</cp:coreProperties>
</file>

<file path=docProps/custom.xml><?xml version="1.0" encoding="utf-8"?>
<Properties xmlns="http://schemas.openxmlformats.org/officeDocument/2006/custom-properties" xmlns:vt="http://schemas.openxmlformats.org/officeDocument/2006/docPropsVTypes"/>
</file>