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b/>
          <w:bCs/>
          <w:color w:val="0F766E"/>
          <w:sz w:val="22"/>
          <w:szCs w:val="22"/>
        </w:rPr>
        <w:t xml:space="preserve">DIIaC PatchForge</w:t>
      </w:r>
      <w:r>
        <w:rPr>
          <w:color w:val="5E6B76"/>
          <w:sz w:val="22"/>
          <w:szCs w:val="22"/>
        </w:rPr>
        <w:t xml:space="preserve"> | Signed Patch Governance</w:t>
      </w:r>
    </w:p>
    <w:p>
      <w:pPr>
        <w:pBdr>
          <w:left w:val="single" w:color="0F766E" w:sz="16"/>
        </w:pBdr>
        <w:shd w:fill="E6EEF7" w:val="clear"/>
        <w:spacing w:after="200" w:before="80"/>
        <w:ind w:left="160"/>
      </w:pPr>
      <w:r>
        <w:rPr>
          <w:b/>
          <w:bCs/>
          <w:color w:val="1D3C5A"/>
          <w:sz w:val="32"/>
          <w:szCs w:val="32"/>
        </w:rPr>
        <w:br/>
        <w:t xml:space="preserve">Board Vulnerability Remediation Summary</w:t>
      </w:r>
      <w:r>
        <w:rPr>
          <w:color w:val="5E6B76"/>
          <w:sz w:val="20"/>
          <w:szCs w:val="20"/>
        </w:rPr>
        <w:br/>
        <w:t xml:space="preserve">Board and senior leadership | CVE-2026-PF-AZ8-001 | Pack PF-20260527-AZ8QA</w:t>
      </w:r>
      <w:r>
        <w:rPr>
          <w:color w:val="17212B"/>
          <w:sz w:val="20"/>
          <w:szCs w:val="20"/>
        </w:rPr>
        <w:br/>
        <w:t xml:space="preserve">Generated 27/05/2026, 02:29:56. Decision posture: Emergency Change Required. Readiness: Blocked.</w:t>
      </w:r>
    </w:p>
    <w:p>
      <w:pPr>
        <w:pStyle w:val="Heading1"/>
        <w:keepNext/>
      </w:pPr>
      <w:r>
        <w:t xml:space="preserve">Executive Decision Summary</w:t>
      </w:r>
    </w:p>
    <w:p>
      <w:pPr>
        <w:spacing w:after="120"/>
      </w:pPr>
      <w:r>
        <w:t xml:space="preserve">CVE-2026-PF-AZ8-001 should be handled as Emergency Change Required because PatchForge sees known exploitation, internet exposure, customer-facing service impact, and incomplete evidence gates.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00"/>
        <w:gridCol w:w="100"/>
      </w:tblGrid>
      <w:tr>
        <w:trPr>
          <w:tblHeader w:val="false"/>
        </w:trPr>
        <w:tc>
          <w:tcPr>
            <w:tcW w:type="dxa" w:w="2800"/>
            <w:shd w:fill="EEF3F7" w:val="clear"/>
            <w:tcMar>
              <w:top w:type="dxa" w:w="100"/>
              <w:left w:type="dxa" w:w="120"/>
              <w:bottom w:type="dxa" w:w="100"/>
              <w:right w:type="dxa" w:w="120"/>
            </w:tcMar>
            <w:vAlign w:val="center"/>
          </w:tcPr>
          <w:p>
            <w:pPr>
              <w:spacing w:after="0" w:before="0"/>
              <w:jc w:val="left"/>
            </w:pPr>
            <w:r>
              <w:rPr>
                <w:b/>
                <w:bCs/>
                <w:color w:val="17212B"/>
                <w:sz w:val="19"/>
                <w:szCs w:val="19"/>
              </w:rPr>
              <w:t xml:space="preserve">Recommended posture</w:t>
            </w:r>
          </w:p>
        </w:tc>
        <w:tc>
          <w:tcPr>
            <w:tcW w:type="dxa" w:w="656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Emergency Change Required</w:t>
            </w:r>
          </w:p>
        </w:tc>
      </w:tr>
      <w:tr>
        <w:trPr>
          <w:tblHeader w:val="false"/>
        </w:trPr>
        <w:tc>
          <w:tcPr>
            <w:tcW w:type="dxa" w:w="2800"/>
            <w:shd w:fill="FFFFFF" w:val="clear"/>
            <w:tcMar>
              <w:top w:type="dxa" w:w="100"/>
              <w:left w:type="dxa" w:w="120"/>
              <w:bottom w:type="dxa" w:w="100"/>
              <w:right w:type="dxa" w:w="120"/>
            </w:tcMar>
            <w:vAlign w:val="center"/>
          </w:tcPr>
          <w:p>
            <w:pPr>
              <w:spacing w:after="0" w:before="0"/>
              <w:jc w:val="left"/>
            </w:pPr>
            <w:r>
              <w:rPr>
                <w:b/>
                <w:bCs/>
                <w:color w:val="17212B"/>
                <w:sz w:val="19"/>
                <w:szCs w:val="19"/>
              </w:rPr>
              <w:t xml:space="preserve">Next best action</w:t>
            </w:r>
          </w:p>
        </w:tc>
        <w:tc>
          <w:tcPr>
            <w:tcW w:type="dxa" w:w="656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Open CAB/security-lead emergency review and confirm rollback evidence before approval.</w:t>
            </w:r>
          </w:p>
        </w:tc>
      </w:tr>
      <w:tr>
        <w:trPr>
          <w:tblHeader w:val="false"/>
        </w:trPr>
        <w:tc>
          <w:tcPr>
            <w:tcW w:type="dxa" w:w="2800"/>
            <w:shd w:fill="EEF3F7" w:val="clear"/>
            <w:tcMar>
              <w:top w:type="dxa" w:w="100"/>
              <w:left w:type="dxa" w:w="120"/>
              <w:bottom w:type="dxa" w:w="100"/>
              <w:right w:type="dxa" w:w="120"/>
            </w:tcMar>
            <w:vAlign w:val="center"/>
          </w:tcPr>
          <w:p>
            <w:pPr>
              <w:spacing w:after="0" w:before="0"/>
              <w:jc w:val="left"/>
            </w:pPr>
            <w:r>
              <w:rPr>
                <w:b/>
                <w:bCs/>
                <w:color w:val="17212B"/>
                <w:sz w:val="19"/>
                <w:szCs w:val="19"/>
              </w:rPr>
              <w:t xml:space="preserve">Confidence</w:t>
            </w:r>
          </w:p>
        </w:tc>
        <w:tc>
          <w:tcPr>
            <w:tcW w:type="dxa" w:w="656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High</w:t>
            </w:r>
          </w:p>
        </w:tc>
      </w:tr>
      <w:tr>
        <w:trPr>
          <w:tblHeader w:val="false"/>
        </w:trPr>
        <w:tc>
          <w:tcPr>
            <w:tcW w:type="dxa" w:w="2800"/>
            <w:shd w:fill="FFFFFF" w:val="clear"/>
            <w:tcMar>
              <w:top w:type="dxa" w:w="100"/>
              <w:left w:type="dxa" w:w="120"/>
              <w:bottom w:type="dxa" w:w="100"/>
              <w:right w:type="dxa" w:w="120"/>
            </w:tcMar>
            <w:vAlign w:val="center"/>
          </w:tcPr>
          <w:p>
            <w:pPr>
              <w:spacing w:after="0" w:before="0"/>
              <w:jc w:val="left"/>
            </w:pPr>
            <w:r>
              <w:rPr>
                <w:b/>
                <w:bCs/>
                <w:color w:val="17212B"/>
                <w:sz w:val="19"/>
                <w:szCs w:val="19"/>
              </w:rPr>
              <w:t xml:space="preserve">Human approval</w:t>
            </w:r>
          </w:p>
        </w:tc>
        <w:tc>
          <w:tcPr>
            <w:tcW w:type="dxa" w:w="656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Still required</w:t>
            </w:r>
          </w:p>
        </w:tc>
      </w:tr>
      <w:tr>
        <w:trPr>
          <w:tblHeader w:val="false"/>
        </w:trPr>
        <w:tc>
          <w:tcPr>
            <w:tcW w:type="dxa" w:w="2800"/>
            <w:shd w:fill="EEF3F7" w:val="clear"/>
            <w:tcMar>
              <w:top w:type="dxa" w:w="100"/>
              <w:left w:type="dxa" w:w="120"/>
              <w:bottom w:type="dxa" w:w="100"/>
              <w:right w:type="dxa" w:w="120"/>
            </w:tcMar>
            <w:vAlign w:val="center"/>
          </w:tcPr>
          <w:p>
            <w:pPr>
              <w:spacing w:after="0" w:before="0"/>
              <w:jc w:val="left"/>
            </w:pPr>
            <w:r>
              <w:rPr>
                <w:b/>
                <w:bCs/>
                <w:color w:val="17212B"/>
                <w:sz w:val="19"/>
                <w:szCs w:val="19"/>
              </w:rPr>
              <w:t xml:space="preserve">Decision boundary</w:t>
            </w:r>
          </w:p>
        </w:tc>
        <w:tc>
          <w:tcPr>
            <w:tcW w:type="dxa" w:w="656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Analysis is autonomous; approval, risk acceptance, and closure are human-controlled</w:t>
            </w:r>
          </w:p>
        </w:tc>
      </w:tr>
    </w:tbl>
    <w:p>
      <w:pPr>
        <w:pStyle w:val="Heading1"/>
        <w:keepNext/>
      </w:pPr>
      <w:r>
        <w:t xml:space="preserve">What This Vulnerability Means</w:t>
      </w:r>
    </w:p>
    <w:p>
      <w:pPr>
        <w:spacing w:after="120"/>
      </w:pPr>
      <w:r>
        <w:t xml:space="preserve">An externally reachable gateway component is affected by an authentication bypass condition. The issue could allow unauthorised access paths if the affected service is exposed and compensating controls are incomplete. PatchForge treats this as a governance decision until source evidence, affected scope, rollback planning, and human approval are complete.</w:t>
      </w:r>
    </w:p>
    <w:p>
      <w:pPr>
        <w:pStyle w:val="Heading2"/>
        <w:keepNext/>
      </w:pPr>
      <w:r>
        <w:t xml:space="preserve">Why It Matters Now</w:t>
      </w:r>
    </w:p>
    <w:p>
      <w:pPr>
        <w:spacing w:after="120"/>
      </w:pPr>
      <w:r>
        <w:t xml:space="preserve">It is flagged as known exploited, it is marked internet exposed, and a patch is available. The decision delay risk is therefore higher than a normal scheduled vulnerability review.</w:t>
      </w:r>
    </w:p>
    <w:p>
      <w:pPr>
        <w:pStyle w:val="Heading1"/>
        <w:keepNext/>
      </w:pPr>
      <w:r>
        <w:t xml:space="preserve">Affected Products, Services, and Assets</w:t>
      </w:r>
    </w:p>
    <w:p>
      <w:pPr>
        <w:spacing w:after="120"/>
      </w:pPr>
      <w:r>
        <w:t xml:space="preserve">Mapped service impact: Orion Gateway, a customer-facing edge service. Mapped asset scope: asset-orion-edge-01.</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00"/>
        <w:gridCol w:w="100"/>
        <w:gridCol w:w="100"/>
      </w:tblGrid>
      <w:tr>
        <w:trPr>
          <w:tblHeader/>
        </w:trPr>
        <w:tc>
          <w:tcPr>
            <w:tcW w:type="dxa" w:w="1500"/>
            <w:shd w:fill="1D3C5A" w:val="clear"/>
            <w:tcMar>
              <w:top w:type="dxa" w:w="100"/>
              <w:left w:type="dxa" w:w="120"/>
              <w:bottom w:type="dxa" w:w="100"/>
              <w:right w:type="dxa" w:w="120"/>
            </w:tcMar>
            <w:vAlign w:val="center"/>
          </w:tcPr>
          <w:p>
            <w:pPr>
              <w:spacing w:after="0" w:before="0"/>
              <w:jc w:val="left"/>
            </w:pPr>
            <w:r>
              <w:rPr>
                <w:b/>
                <w:bCs/>
                <w:color w:val="FFFFFF"/>
                <w:sz w:val="19"/>
                <w:szCs w:val="19"/>
              </w:rPr>
              <w:t xml:space="preserve">Scope</w:t>
            </w:r>
          </w:p>
        </w:tc>
        <w:tc>
          <w:tcPr>
            <w:tcW w:type="dxa" w:w="3060"/>
            <w:shd w:fill="1D3C5A" w:val="clear"/>
            <w:tcMar>
              <w:top w:type="dxa" w:w="100"/>
              <w:left w:type="dxa" w:w="120"/>
              <w:bottom w:type="dxa" w:w="100"/>
              <w:right w:type="dxa" w:w="120"/>
            </w:tcMar>
            <w:vAlign w:val="center"/>
          </w:tcPr>
          <w:p>
            <w:pPr>
              <w:spacing w:after="0" w:before="0"/>
              <w:jc w:val="center"/>
            </w:pPr>
            <w:r>
              <w:rPr>
                <w:b/>
                <w:bCs/>
                <w:color w:val="FFFFFF"/>
                <w:sz w:val="19"/>
                <w:szCs w:val="19"/>
              </w:rPr>
              <w:t xml:space="preserve">Record</w:t>
            </w:r>
          </w:p>
        </w:tc>
        <w:tc>
          <w:tcPr>
            <w:tcW w:type="dxa" w:w="4800"/>
            <w:shd w:fill="1D3C5A" w:val="clear"/>
            <w:tcMar>
              <w:top w:type="dxa" w:w="100"/>
              <w:left w:type="dxa" w:w="120"/>
              <w:bottom w:type="dxa" w:w="100"/>
              <w:right w:type="dxa" w:w="120"/>
            </w:tcMar>
            <w:vAlign w:val="center"/>
          </w:tcPr>
          <w:p>
            <w:pPr>
              <w:spacing w:after="0" w:before="0"/>
              <w:jc w:val="center"/>
            </w:pPr>
            <w:r>
              <w:rPr>
                <w:b/>
                <w:bCs/>
                <w:color w:val="FFFFFF"/>
                <w:sz w:val="19"/>
                <w:szCs w:val="19"/>
              </w:rPr>
              <w:t xml:space="preserve">Operational meaning</w:t>
            </w:r>
          </w:p>
        </w:tc>
      </w:tr>
      <w:tr>
        <w:trPr>
          <w:tblHeader w:val="false"/>
        </w:trPr>
        <w:tc>
          <w:tcPr>
            <w:tcW w:type="dxa" w:w="150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Service</w:t>
            </w:r>
          </w:p>
        </w:tc>
        <w:tc>
          <w:tcPr>
            <w:tcW w:type="dxa" w:w="306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Orion Gateway</w:t>
            </w:r>
          </w:p>
        </w:tc>
        <w:tc>
          <w:tcPr>
            <w:tcW w:type="dxa" w:w="480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Customer-facing | Owner: Service Owner</w:t>
            </w:r>
          </w:p>
        </w:tc>
      </w:tr>
      <w:tr>
        <w:trPr>
          <w:tblHeader w:val="false"/>
        </w:trPr>
        <w:tc>
          <w:tcPr>
            <w:tcW w:type="dxa" w:w="150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Asset</w:t>
            </w:r>
          </w:p>
        </w:tc>
        <w:tc>
          <w:tcPr>
            <w:tcW w:type="dxa" w:w="3060"/>
            <w:shd w:fill="EEF3F7"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Orion Edge 01</w:t>
            </w:r>
          </w:p>
        </w:tc>
        <w:tc>
          <w:tcPr>
            <w:tcW w:type="dxa" w:w="4800"/>
            <w:shd w:fill="EEF3F7"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Edge Gateway | Critical | Internet</w:t>
            </w:r>
          </w:p>
        </w:tc>
      </w:tr>
    </w:tbl>
    <w:p>
      <w:pPr>
        <w:pStyle w:val="Heading1"/>
        <w:keepNext/>
      </w:pPr>
      <w:r>
        <w:t xml:space="preserve">Exploitability Intelligence</w:t>
      </w:r>
    </w:p>
    <w:p>
      <w:pPr>
        <w:pBdr>
          <w:left w:val="single" w:color="B7791F" w:sz="16"/>
        </w:pBdr>
        <w:shd w:fill="FFF6E4" w:val="clear"/>
        <w:spacing w:after="180" w:before="80"/>
        <w:ind w:left="160"/>
      </w:pPr>
      <w:r>
        <w:rPr>
          <w:b/>
          <w:bCs/>
          <w:color w:val="17212B"/>
        </w:rPr>
        <w:t xml:space="preserve">Exploit code, exploit payloads, and procedural exploitation steps are intentionally not provided.</w:t>
      </w:r>
    </w:p>
    <w:p>
      <w:pPr>
        <w:spacing w:after="120"/>
      </w:pPr>
      <w:r>
        <w:t xml:space="preserve">Source-bound intelligence indicates this vulnerability is known to be exploited in the wild. EPSS indicates elevated probability. PatchForge records this for prioritisation only and does not provide exploit code or procedural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00"/>
        <w:gridCol w:w="100"/>
      </w:tblGrid>
      <w:tr>
        <w:trPr>
          <w:tblHeader w:val="false"/>
        </w:trPr>
        <w:tc>
          <w:tcPr>
            <w:tcW w:type="dxa" w:w="2800"/>
            <w:shd w:fill="EEF3F7" w:val="clear"/>
            <w:tcMar>
              <w:top w:type="dxa" w:w="100"/>
              <w:left w:type="dxa" w:w="120"/>
              <w:bottom w:type="dxa" w:w="100"/>
              <w:right w:type="dxa" w:w="120"/>
            </w:tcMar>
            <w:vAlign w:val="center"/>
          </w:tcPr>
          <w:p>
            <w:pPr>
              <w:spacing w:after="0" w:before="0"/>
              <w:jc w:val="left"/>
            </w:pPr>
            <w:r>
              <w:rPr>
                <w:b/>
                <w:bCs/>
                <w:color w:val="17212B"/>
                <w:sz w:val="19"/>
                <w:szCs w:val="19"/>
              </w:rPr>
              <w:t xml:space="preserve">Known exploited signal</w:t>
            </w:r>
          </w:p>
        </w:tc>
        <w:tc>
          <w:tcPr>
            <w:tcW w:type="dxa" w:w="656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Yes, source-bound pending review unless accepted</w:t>
            </w:r>
          </w:p>
        </w:tc>
      </w:tr>
      <w:tr>
        <w:trPr>
          <w:tblHeader w:val="false"/>
        </w:trPr>
        <w:tc>
          <w:tcPr>
            <w:tcW w:type="dxa" w:w="2800"/>
            <w:shd w:fill="FFFFFF" w:val="clear"/>
            <w:tcMar>
              <w:top w:type="dxa" w:w="100"/>
              <w:left w:type="dxa" w:w="120"/>
              <w:bottom w:type="dxa" w:w="100"/>
              <w:right w:type="dxa" w:w="120"/>
            </w:tcMar>
            <w:vAlign w:val="center"/>
          </w:tcPr>
          <w:p>
            <w:pPr>
              <w:spacing w:after="0" w:before="0"/>
              <w:jc w:val="left"/>
            </w:pPr>
            <w:r>
              <w:rPr>
                <w:b/>
                <w:bCs/>
                <w:color w:val="17212B"/>
                <w:sz w:val="19"/>
                <w:szCs w:val="19"/>
              </w:rPr>
              <w:t xml:space="preserve">EPSS score</w:t>
            </w:r>
          </w:p>
        </w:tc>
        <w:tc>
          <w:tcPr>
            <w:tcW w:type="dxa" w:w="656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82%</w:t>
            </w:r>
          </w:p>
        </w:tc>
      </w:tr>
      <w:tr>
        <w:trPr>
          <w:tblHeader w:val="false"/>
        </w:trPr>
        <w:tc>
          <w:tcPr>
            <w:tcW w:type="dxa" w:w="2800"/>
            <w:shd w:fill="EEF3F7" w:val="clear"/>
            <w:tcMar>
              <w:top w:type="dxa" w:w="100"/>
              <w:left w:type="dxa" w:w="120"/>
              <w:bottom w:type="dxa" w:w="100"/>
              <w:right w:type="dxa" w:w="120"/>
            </w:tcMar>
            <w:vAlign w:val="center"/>
          </w:tcPr>
          <w:p>
            <w:pPr>
              <w:spacing w:after="0" w:before="0"/>
              <w:jc w:val="left"/>
            </w:pPr>
            <w:r>
              <w:rPr>
                <w:b/>
                <w:bCs/>
                <w:color w:val="17212B"/>
                <w:sz w:val="19"/>
                <w:szCs w:val="19"/>
              </w:rPr>
              <w:t xml:space="preserve">EPSS percentile</w:t>
            </w:r>
          </w:p>
        </w:tc>
        <w:tc>
          <w:tcPr>
            <w:tcW w:type="dxa" w:w="656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97%</w:t>
            </w:r>
          </w:p>
        </w:tc>
      </w:tr>
      <w:tr>
        <w:trPr>
          <w:tblHeader w:val="false"/>
        </w:trPr>
        <w:tc>
          <w:tcPr>
            <w:tcW w:type="dxa" w:w="2800"/>
            <w:shd w:fill="FFFFFF" w:val="clear"/>
            <w:tcMar>
              <w:top w:type="dxa" w:w="100"/>
              <w:left w:type="dxa" w:w="120"/>
              <w:bottom w:type="dxa" w:w="100"/>
              <w:right w:type="dxa" w:w="120"/>
            </w:tcMar>
            <w:vAlign w:val="center"/>
          </w:tcPr>
          <w:p>
            <w:pPr>
              <w:spacing w:after="0" w:before="0"/>
              <w:jc w:val="left"/>
            </w:pPr>
            <w:r>
              <w:rPr>
                <w:b/>
                <w:bCs/>
                <w:color w:val="17212B"/>
                <w:sz w:val="19"/>
                <w:szCs w:val="19"/>
              </w:rPr>
              <w:t xml:space="preserve">Ransomware campaign use</w:t>
            </w:r>
          </w:p>
        </w:tc>
        <w:tc>
          <w:tcPr>
            <w:tcW w:type="dxa" w:w="656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Unknown</w:t>
            </w:r>
          </w:p>
        </w:tc>
      </w:tr>
      <w:tr>
        <w:trPr>
          <w:tblHeader w:val="false"/>
        </w:trPr>
        <w:tc>
          <w:tcPr>
            <w:tcW w:type="dxa" w:w="2800"/>
            <w:shd w:fill="EEF3F7" w:val="clear"/>
            <w:tcMar>
              <w:top w:type="dxa" w:w="100"/>
              <w:left w:type="dxa" w:w="120"/>
              <w:bottom w:type="dxa" w:w="100"/>
              <w:right w:type="dxa" w:w="120"/>
            </w:tcMar>
            <w:vAlign w:val="center"/>
          </w:tcPr>
          <w:p>
            <w:pPr>
              <w:spacing w:after="0" w:before="0"/>
              <w:jc w:val="left"/>
            </w:pPr>
            <w:r>
              <w:rPr>
                <w:b/>
                <w:bCs/>
                <w:color w:val="17212B"/>
                <w:sz w:val="19"/>
                <w:szCs w:val="19"/>
              </w:rPr>
              <w:t xml:space="preserve">Can close gates alone</w:t>
            </w:r>
          </w:p>
        </w:tc>
        <w:tc>
          <w:tcPr>
            <w:tcW w:type="dxa" w:w="656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No</w:t>
            </w:r>
          </w:p>
        </w:tc>
      </w:tr>
    </w:tbl>
    <w:p>
      <w:pPr>
        <w:pStyle w:val="Heading1"/>
        <w:keepNext/>
      </w:pPr>
      <w:r>
        <w:t xml:space="preserve">Recommended Governance Posture</w:t>
      </w:r>
    </w:p>
    <w:p>
      <w:pPr>
        <w:spacing w:after="120"/>
      </w:pPr>
      <w:r>
        <w:t xml:space="preserve">Emergency Change Required is the current advisory posture. Known exploitation, patch availability, and exposed customer-facing service context indicate emergency change governance. This remains a governed decision: PatchForge can prepare the evidence and report, but a human approver must issue the decision outcome.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00"/>
        <w:gridCol w:w="100"/>
        <w:gridCol w:w="100"/>
      </w:tblGrid>
      <w:tr>
        <w:trPr>
          <w:tblHeader/>
        </w:trPr>
        <w:tc>
          <w:tcPr>
            <w:tcW w:type="dxa" w:w="1300"/>
            <w:shd w:fill="1D3C5A" w:val="clear"/>
            <w:tcMar>
              <w:top w:type="dxa" w:w="100"/>
              <w:left w:type="dxa" w:w="120"/>
              <w:bottom w:type="dxa" w:w="100"/>
              <w:right w:type="dxa" w:w="120"/>
            </w:tcMar>
            <w:vAlign w:val="center"/>
          </w:tcPr>
          <w:p>
            <w:pPr>
              <w:spacing w:after="0" w:before="0"/>
              <w:jc w:val="left"/>
            </w:pPr>
            <w:r>
              <w:rPr>
                <w:b/>
                <w:bCs/>
                <w:color w:val="FFFFFF"/>
                <w:sz w:val="19"/>
                <w:szCs w:val="19"/>
              </w:rPr>
              <w:t xml:space="preserve">Timing</w:t>
            </w:r>
          </w:p>
        </w:tc>
        <w:tc>
          <w:tcPr>
            <w:tcW w:type="dxa" w:w="5360"/>
            <w:shd w:fill="1D3C5A" w:val="clear"/>
            <w:tcMar>
              <w:top w:type="dxa" w:w="100"/>
              <w:left w:type="dxa" w:w="120"/>
              <w:bottom w:type="dxa" w:w="100"/>
              <w:right w:type="dxa" w:w="120"/>
            </w:tcMar>
            <w:vAlign w:val="center"/>
          </w:tcPr>
          <w:p>
            <w:pPr>
              <w:spacing w:after="0" w:before="0"/>
              <w:jc w:val="center"/>
            </w:pPr>
            <w:r>
              <w:rPr>
                <w:b/>
                <w:bCs/>
                <w:color w:val="FFFFFF"/>
                <w:sz w:val="19"/>
                <w:szCs w:val="19"/>
              </w:rPr>
              <w:t xml:space="preserve">Action</w:t>
            </w:r>
          </w:p>
        </w:tc>
        <w:tc>
          <w:tcPr>
            <w:tcW w:type="dxa" w:w="2700"/>
            <w:shd w:fill="1D3C5A" w:val="clear"/>
            <w:tcMar>
              <w:top w:type="dxa" w:w="100"/>
              <w:left w:type="dxa" w:w="120"/>
              <w:bottom w:type="dxa" w:w="100"/>
              <w:right w:type="dxa" w:w="120"/>
            </w:tcMar>
            <w:vAlign w:val="center"/>
          </w:tcPr>
          <w:p>
            <w:pPr>
              <w:spacing w:after="0" w:before="0"/>
              <w:jc w:val="center"/>
            </w:pPr>
            <w:r>
              <w:rPr>
                <w:b/>
                <w:bCs/>
                <w:color w:val="FFFFFF"/>
                <w:sz w:val="19"/>
                <w:szCs w:val="19"/>
              </w:rPr>
              <w:t xml:space="preserve">Owner / gate</w:t>
            </w:r>
          </w:p>
        </w:tc>
      </w:tr>
      <w:tr>
        <w:trPr>
          <w:tblHeader w:val="false"/>
        </w:trPr>
        <w:tc>
          <w:tcPr>
            <w:tcW w:type="dxa" w:w="130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Now</w:t>
            </w:r>
          </w:p>
        </w:tc>
        <w:tc>
          <w:tcPr>
            <w:tcW w:type="dxa" w:w="536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Open emergency CAB/security-lead review.</w:t>
            </w:r>
          </w:p>
        </w:tc>
        <w:tc>
          <w:tcPr>
            <w:tcW w:type="dxa" w:w="270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Security lead / CAB reviewer</w:t>
            </w:r>
          </w:p>
        </w:tc>
      </w:tr>
      <w:tr>
        <w:trPr>
          <w:tblHeader w:val="false"/>
        </w:trPr>
        <w:tc>
          <w:tcPr>
            <w:tcW w:type="dxa" w:w="130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Now</w:t>
            </w:r>
          </w:p>
        </w:tc>
        <w:tc>
          <w:tcPr>
            <w:tcW w:type="dxa" w:w="5360"/>
            <w:shd w:fill="EEF3F7"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Confirm rollback evidence and post-change validation plan.</w:t>
            </w:r>
          </w:p>
        </w:tc>
        <w:tc>
          <w:tcPr>
            <w:tcW w:type="dxa" w:w="2700"/>
            <w:shd w:fill="EEF3F7"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Security lead / CAB reviewer</w:t>
            </w:r>
          </w:p>
        </w:tc>
      </w:tr>
      <w:tr>
        <w:trPr>
          <w:tblHeader w:val="false"/>
        </w:trPr>
        <w:tc>
          <w:tcPr>
            <w:tcW w:type="dxa" w:w="130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Next</w:t>
            </w:r>
          </w:p>
        </w:tc>
        <w:tc>
          <w:tcPr>
            <w:tcW w:type="dxa" w:w="536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Attach service-owner impact review.</w:t>
            </w:r>
          </w:p>
        </w:tc>
        <w:tc>
          <w:tcPr>
            <w:tcW w:type="dxa" w:w="270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Service owner / evidence owner</w:t>
            </w:r>
          </w:p>
        </w:tc>
      </w:tr>
      <w:tr>
        <w:trPr>
          <w:tblHeader w:val="false"/>
        </w:trPr>
        <w:tc>
          <w:tcPr>
            <w:tcW w:type="dxa" w:w="130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Next</w:t>
            </w:r>
          </w:p>
        </w:tc>
        <w:tc>
          <w:tcPr>
            <w:tcW w:type="dxa" w:w="5360"/>
            <w:shd w:fill="EEF3F7"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Generate and verify the signed decision pack.</w:t>
            </w:r>
          </w:p>
        </w:tc>
        <w:tc>
          <w:tcPr>
            <w:tcW w:type="dxa" w:w="2700"/>
            <w:shd w:fill="EEF3F7"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Service owner / evidence owner</w:t>
            </w:r>
          </w:p>
        </w:tc>
      </w:tr>
      <w:tr>
        <w:trPr>
          <w:tblHeader w:val="false"/>
        </w:trPr>
        <w:tc>
          <w:tcPr>
            <w:tcW w:type="dxa" w:w="130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Deadline</w:t>
            </w:r>
          </w:p>
        </w:tc>
        <w:tc>
          <w:tcPr>
            <w:tcW w:type="dxa" w:w="536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Recorded due date: 2026-06-03</w:t>
            </w:r>
          </w:p>
        </w:tc>
        <w:tc>
          <w:tcPr>
            <w:tcW w:type="dxa" w:w="270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Accountable owner</w:t>
            </w:r>
          </w:p>
        </w:tc>
      </w:tr>
    </w:tbl>
    <w:p>
      <w:pPr>
        <w:pStyle w:val="Heading1"/>
        <w:keepNext/>
      </w:pPr>
      <w:r>
        <w:t xml:space="preserve">Decision Options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00"/>
        <w:gridCol w:w="100"/>
        <w:gridCol w:w="100"/>
      </w:tblGrid>
      <w:tr>
        <w:trPr>
          <w:tblHeader/>
        </w:trPr>
        <w:tc>
          <w:tcPr>
            <w:tcW w:type="dxa" w:w="2200"/>
            <w:shd w:fill="1D3C5A" w:val="clear"/>
            <w:tcMar>
              <w:top w:type="dxa" w:w="100"/>
              <w:left w:type="dxa" w:w="120"/>
              <w:bottom w:type="dxa" w:w="100"/>
              <w:right w:type="dxa" w:w="120"/>
            </w:tcMar>
            <w:vAlign w:val="center"/>
          </w:tcPr>
          <w:p>
            <w:pPr>
              <w:spacing w:after="0" w:before="0"/>
              <w:jc w:val="left"/>
            </w:pPr>
            <w:r>
              <w:rPr>
                <w:b/>
                <w:bCs/>
                <w:color w:val="FFFFFF"/>
                <w:sz w:val="19"/>
                <w:szCs w:val="19"/>
              </w:rPr>
              <w:t xml:space="preserve">Option</w:t>
            </w:r>
          </w:p>
        </w:tc>
        <w:tc>
          <w:tcPr>
            <w:tcW w:type="dxa" w:w="3400"/>
            <w:shd w:fill="1D3C5A" w:val="clear"/>
            <w:tcMar>
              <w:top w:type="dxa" w:w="100"/>
              <w:left w:type="dxa" w:w="120"/>
              <w:bottom w:type="dxa" w:w="100"/>
              <w:right w:type="dxa" w:w="120"/>
            </w:tcMar>
            <w:vAlign w:val="center"/>
          </w:tcPr>
          <w:p>
            <w:pPr>
              <w:spacing w:after="0" w:before="0"/>
              <w:jc w:val="center"/>
            </w:pPr>
            <w:r>
              <w:rPr>
                <w:b/>
                <w:bCs/>
                <w:color w:val="FFFFFF"/>
                <w:sz w:val="19"/>
                <w:szCs w:val="19"/>
              </w:rPr>
              <w:t xml:space="preserve">When it fits</w:t>
            </w:r>
          </w:p>
        </w:tc>
        <w:tc>
          <w:tcPr>
            <w:tcW w:type="dxa" w:w="3760"/>
            <w:shd w:fill="1D3C5A" w:val="clear"/>
            <w:tcMar>
              <w:top w:type="dxa" w:w="100"/>
              <w:left w:type="dxa" w:w="120"/>
              <w:bottom w:type="dxa" w:w="100"/>
              <w:right w:type="dxa" w:w="120"/>
            </w:tcMar>
            <w:vAlign w:val="center"/>
          </w:tcPr>
          <w:p>
            <w:pPr>
              <w:spacing w:after="0" w:before="0"/>
              <w:jc w:val="center"/>
            </w:pPr>
            <w:r>
              <w:rPr>
                <w:b/>
                <w:bCs/>
                <w:color w:val="FFFFFF"/>
                <w:sz w:val="19"/>
                <w:szCs w:val="19"/>
              </w:rPr>
              <w:t xml:space="preserve">Decision impact</w:t>
            </w:r>
          </w:p>
        </w:tc>
      </w:tr>
      <w:tr>
        <w:trPr>
          <w:tblHeader w:val="false"/>
        </w:trPr>
        <w:tc>
          <w:tcPr>
            <w:tcW w:type="dxa" w:w="220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Recommended: Emergency Change Required</w:t>
            </w:r>
          </w:p>
        </w:tc>
        <w:tc>
          <w:tcPr>
            <w:tcW w:type="dxa" w:w="340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Use when known exploitation and customer-facing exposure make normal change cadence too slow.</w:t>
            </w:r>
          </w:p>
        </w:tc>
        <w:tc>
          <w:tcPr>
            <w:tcW w:type="dxa" w:w="376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Benefit: Fast accountable response with rollback gates preserved. Required evidence: Rollback plan, Test evidence, Human approval. Approval: required.</w:t>
            </w:r>
          </w:p>
        </w:tc>
      </w:tr>
    </w:tbl>
    <w:p>
      <w:pPr>
        <w:pStyle w:val="Heading1"/>
        <w:keepNext/>
        <w:pageBreakBefore/>
      </w:pPr>
      <w:r>
        <w:t xml:space="preserve">Evidence Confidence and Gaps</w:t>
      </w:r>
    </w:p>
    <w:p>
      <w:pPr>
        <w:spacing w:after="120"/>
      </w:pPr>
      <w:r>
        <w:t xml:space="preserve">The report separates source-pack evidence from current-state overlays. Source records, scanner findings, SRA/MCP/agent findings, CISA KEV records, EPSS signals, and vendor advisories remain source-bound until reviewed.</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00"/>
        <w:gridCol w:w="100"/>
        <w:gridCol w:w="100"/>
      </w:tblGrid>
      <w:tr>
        <w:trPr>
          <w:tblHeader/>
        </w:trPr>
        <w:tc>
          <w:tcPr>
            <w:tcW w:type="dxa" w:w="2600"/>
            <w:shd w:fill="1D3C5A" w:val="clear"/>
            <w:tcMar>
              <w:top w:type="dxa" w:w="100"/>
              <w:left w:type="dxa" w:w="120"/>
              <w:bottom w:type="dxa" w:w="100"/>
              <w:right w:type="dxa" w:w="120"/>
            </w:tcMar>
            <w:vAlign w:val="center"/>
          </w:tcPr>
          <w:p>
            <w:pPr>
              <w:spacing w:after="0" w:before="0"/>
              <w:jc w:val="left"/>
            </w:pPr>
            <w:r>
              <w:rPr>
                <w:b/>
                <w:bCs/>
                <w:color w:val="FFFFFF"/>
                <w:sz w:val="19"/>
                <w:szCs w:val="19"/>
              </w:rPr>
              <w:t xml:space="preserve">Evidence / gate</w:t>
            </w:r>
          </w:p>
        </w:tc>
        <w:tc>
          <w:tcPr>
            <w:tcW w:type="dxa" w:w="1900"/>
            <w:shd w:fill="1D3C5A" w:val="clear"/>
            <w:tcMar>
              <w:top w:type="dxa" w:w="100"/>
              <w:left w:type="dxa" w:w="120"/>
              <w:bottom w:type="dxa" w:w="100"/>
              <w:right w:type="dxa" w:w="120"/>
            </w:tcMar>
            <w:vAlign w:val="center"/>
          </w:tcPr>
          <w:p>
            <w:pPr>
              <w:spacing w:after="0" w:before="0"/>
              <w:jc w:val="center"/>
            </w:pPr>
            <w:r>
              <w:rPr>
                <w:b/>
                <w:bCs/>
                <w:color w:val="FFFFFF"/>
                <w:sz w:val="19"/>
                <w:szCs w:val="19"/>
              </w:rPr>
              <w:t xml:space="preserve">State</w:t>
            </w:r>
          </w:p>
        </w:tc>
        <w:tc>
          <w:tcPr>
            <w:tcW w:type="dxa" w:w="4860"/>
            <w:shd w:fill="1D3C5A" w:val="clear"/>
            <w:tcMar>
              <w:top w:type="dxa" w:w="100"/>
              <w:left w:type="dxa" w:w="120"/>
              <w:bottom w:type="dxa" w:w="100"/>
              <w:right w:type="dxa" w:w="120"/>
            </w:tcMar>
            <w:vAlign w:val="center"/>
          </w:tcPr>
          <w:p>
            <w:pPr>
              <w:spacing w:after="0" w:before="0"/>
              <w:jc w:val="center"/>
            </w:pPr>
            <w:r>
              <w:rPr>
                <w:b/>
                <w:bCs/>
                <w:color w:val="FFFFFF"/>
                <w:sz w:val="19"/>
                <w:szCs w:val="19"/>
              </w:rPr>
              <w:t xml:space="preserve">Decision implication</w:t>
            </w:r>
          </w:p>
        </w:tc>
      </w:tr>
      <w:tr>
        <w:trPr>
          <w:tblHeader w:val="false"/>
        </w:trPr>
        <w:tc>
          <w:tcPr>
            <w:tcW w:type="dxa" w:w="260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Rollback Plan</w:t>
            </w:r>
          </w:p>
        </w:tc>
        <w:tc>
          <w:tcPr>
            <w:tcW w:type="dxa" w:w="190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Open</w:t>
            </w:r>
          </w:p>
        </w:tc>
        <w:tc>
          <w:tcPr>
            <w:tcW w:type="dxa" w:w="486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Attach reviewed rollback evidence before close or emergency approval.</w:t>
            </w:r>
          </w:p>
        </w:tc>
      </w:tr>
      <w:tr>
        <w:trPr>
          <w:tblHeader w:val="false"/>
        </w:trPr>
        <w:tc>
          <w:tcPr>
            <w:tcW w:type="dxa" w:w="260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Test Evidence</w:t>
            </w:r>
          </w:p>
        </w:tc>
        <w:tc>
          <w:tcPr>
            <w:tcW w:type="dxa" w:w="1900"/>
            <w:shd w:fill="EEF3F7"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Open</w:t>
            </w:r>
          </w:p>
        </w:tc>
        <w:tc>
          <w:tcPr>
            <w:tcW w:type="dxa" w:w="4860"/>
            <w:shd w:fill="EEF3F7"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Attach reviewed test evidence or record explicit deferral rationale.</w:t>
            </w:r>
          </w:p>
        </w:tc>
      </w:tr>
      <w:tr>
        <w:trPr>
          <w:tblHeader w:val="false"/>
        </w:trPr>
        <w:tc>
          <w:tcPr>
            <w:tcW w:type="dxa" w:w="260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Human Approval</w:t>
            </w:r>
          </w:p>
        </w:tc>
        <w:tc>
          <w:tcPr>
            <w:tcW w:type="dxa" w:w="190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Open</w:t>
            </w:r>
          </w:p>
        </w:tc>
        <w:tc>
          <w:tcPr>
            <w:tcW w:type="dxa" w:w="486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Record accountable approval event after evidence review.</w:t>
            </w:r>
          </w:p>
        </w:tc>
      </w:tr>
      <w:tr>
        <w:trPr>
          <w:tblHeader w:val="false"/>
        </w:trPr>
        <w:tc>
          <w:tcPr>
            <w:tcW w:type="dxa" w:w="260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Pending source review</w:t>
            </w:r>
          </w:p>
        </w:tc>
        <w:tc>
          <w:tcPr>
            <w:tcW w:type="dxa" w:w="1900"/>
            <w:shd w:fill="EEF3F7"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1</w:t>
            </w:r>
          </w:p>
        </w:tc>
        <w:tc>
          <w:tcPr>
            <w:tcW w:type="dxa" w:w="4860"/>
            <w:shd w:fill="EEF3F7"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Pending sources cannot be treated as accepted truth.</w:t>
            </w:r>
          </w:p>
        </w:tc>
      </w:tr>
      <w:tr>
        <w:trPr>
          <w:tblHeader w:val="false"/>
        </w:trPr>
        <w:tc>
          <w:tcPr>
            <w:tcW w:type="dxa" w:w="260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Accepted positive evidence</w:t>
            </w:r>
          </w:p>
        </w:tc>
        <w:tc>
          <w:tcPr>
            <w:tcW w:type="dxa" w:w="190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0</w:t>
            </w:r>
          </w:p>
        </w:tc>
        <w:tc>
          <w:tcPr>
            <w:tcW w:type="dxa" w:w="486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Only accepted positive evidence can support hard gates.</w:t>
            </w:r>
          </w:p>
        </w:tc>
      </w:tr>
      <w:tr>
        <w:trPr>
          <w:tblHeader w:val="false"/>
        </w:trPr>
        <w:tc>
          <w:tcPr>
            <w:tcW w:type="dxa" w:w="260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Rejected sources</w:t>
            </w:r>
          </w:p>
        </w:tc>
        <w:tc>
          <w:tcPr>
            <w:tcW w:type="dxa" w:w="1900"/>
            <w:shd w:fill="EEF3F7"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0</w:t>
            </w:r>
          </w:p>
        </w:tc>
        <w:tc>
          <w:tcPr>
            <w:tcW w:type="dxa" w:w="4860"/>
            <w:shd w:fill="EEF3F7"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Rejected sources cannot support the decision.</w:t>
            </w:r>
          </w:p>
        </w:tc>
      </w:tr>
    </w:tbl>
    <w:p>
      <w:pPr>
        <w:pStyle w:val="Heading1"/>
        <w:keepNext/>
      </w:pPr>
      <w:r>
        <w:t xml:space="preserve">Decision Snapshot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00"/>
        <w:gridCol w:w="100"/>
      </w:tblGrid>
      <w:tr>
        <w:trPr>
          <w:tblHeader w:val="false"/>
        </w:trPr>
        <w:tc>
          <w:tcPr>
            <w:tcW w:type="dxa" w:w="2800"/>
            <w:shd w:fill="EEF3F7" w:val="clear"/>
            <w:tcMar>
              <w:top w:type="dxa" w:w="100"/>
              <w:left w:type="dxa" w:w="120"/>
              <w:bottom w:type="dxa" w:w="100"/>
              <w:right w:type="dxa" w:w="120"/>
            </w:tcMar>
            <w:vAlign w:val="center"/>
          </w:tcPr>
          <w:p>
            <w:pPr>
              <w:spacing w:after="0" w:before="0"/>
              <w:jc w:val="left"/>
            </w:pPr>
            <w:r>
              <w:rPr>
                <w:b/>
                <w:bCs/>
                <w:color w:val="17212B"/>
                <w:sz w:val="19"/>
                <w:szCs w:val="19"/>
              </w:rPr>
              <w:t xml:space="preserve">Vulnerability</w:t>
            </w:r>
          </w:p>
        </w:tc>
        <w:tc>
          <w:tcPr>
            <w:tcW w:type="dxa" w:w="656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CVE-2026-PF-AZ8-001</w:t>
            </w:r>
          </w:p>
        </w:tc>
      </w:tr>
      <w:tr>
        <w:trPr>
          <w:tblHeader w:val="false"/>
        </w:trPr>
        <w:tc>
          <w:tcPr>
            <w:tcW w:type="dxa" w:w="2800"/>
            <w:shd w:fill="FFFFFF" w:val="clear"/>
            <w:tcMar>
              <w:top w:type="dxa" w:w="100"/>
              <w:left w:type="dxa" w:w="120"/>
              <w:bottom w:type="dxa" w:w="100"/>
              <w:right w:type="dxa" w:w="120"/>
            </w:tcMar>
            <w:vAlign w:val="center"/>
          </w:tcPr>
          <w:p>
            <w:pPr>
              <w:spacing w:after="0" w:before="0"/>
              <w:jc w:val="left"/>
            </w:pPr>
            <w:r>
              <w:rPr>
                <w:b/>
                <w:bCs/>
                <w:color w:val="17212B"/>
                <w:sz w:val="19"/>
                <w:szCs w:val="19"/>
              </w:rPr>
              <w:t xml:space="preserve">Title</w:t>
            </w:r>
          </w:p>
        </w:tc>
        <w:tc>
          <w:tcPr>
            <w:tcW w:type="dxa" w:w="656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Orion Gateway Authentication Bypass Vulnerability</w:t>
            </w:r>
          </w:p>
        </w:tc>
      </w:tr>
      <w:tr>
        <w:trPr>
          <w:tblHeader w:val="false"/>
        </w:trPr>
        <w:tc>
          <w:tcPr>
            <w:tcW w:type="dxa" w:w="2800"/>
            <w:shd w:fill="EEF3F7" w:val="clear"/>
            <w:tcMar>
              <w:top w:type="dxa" w:w="100"/>
              <w:left w:type="dxa" w:w="120"/>
              <w:bottom w:type="dxa" w:w="100"/>
              <w:right w:type="dxa" w:w="120"/>
            </w:tcMar>
            <w:vAlign w:val="center"/>
          </w:tcPr>
          <w:p>
            <w:pPr>
              <w:spacing w:after="0" w:before="0"/>
              <w:jc w:val="left"/>
            </w:pPr>
            <w:r>
              <w:rPr>
                <w:b/>
                <w:bCs/>
                <w:color w:val="17212B"/>
                <w:sz w:val="19"/>
                <w:szCs w:val="19"/>
              </w:rPr>
              <w:t xml:space="preserve">Severity</w:t>
            </w:r>
          </w:p>
        </w:tc>
        <w:tc>
          <w:tcPr>
            <w:tcW w:type="dxa" w:w="656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Critical</w:t>
            </w:r>
          </w:p>
        </w:tc>
      </w:tr>
      <w:tr>
        <w:trPr>
          <w:tblHeader w:val="false"/>
        </w:trPr>
        <w:tc>
          <w:tcPr>
            <w:tcW w:type="dxa" w:w="2800"/>
            <w:shd w:fill="FFFFFF" w:val="clear"/>
            <w:tcMar>
              <w:top w:type="dxa" w:w="100"/>
              <w:left w:type="dxa" w:w="120"/>
              <w:bottom w:type="dxa" w:w="100"/>
              <w:right w:type="dxa" w:w="120"/>
            </w:tcMar>
            <w:vAlign w:val="center"/>
          </w:tcPr>
          <w:p>
            <w:pPr>
              <w:spacing w:after="0" w:before="0"/>
              <w:jc w:val="left"/>
            </w:pPr>
            <w:r>
              <w:rPr>
                <w:b/>
                <w:bCs/>
                <w:color w:val="17212B"/>
                <w:sz w:val="19"/>
                <w:szCs w:val="19"/>
              </w:rPr>
              <w:t xml:space="preserve">Decision posture</w:t>
            </w:r>
          </w:p>
        </w:tc>
        <w:tc>
          <w:tcPr>
            <w:tcW w:type="dxa" w:w="656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Emergency Change Required</w:t>
            </w:r>
          </w:p>
        </w:tc>
      </w:tr>
      <w:tr>
        <w:trPr>
          <w:tblHeader w:val="false"/>
        </w:trPr>
        <w:tc>
          <w:tcPr>
            <w:tcW w:type="dxa" w:w="2800"/>
            <w:shd w:fill="EEF3F7" w:val="clear"/>
            <w:tcMar>
              <w:top w:type="dxa" w:w="100"/>
              <w:left w:type="dxa" w:w="120"/>
              <w:bottom w:type="dxa" w:w="100"/>
              <w:right w:type="dxa" w:w="120"/>
            </w:tcMar>
            <w:vAlign w:val="center"/>
          </w:tcPr>
          <w:p>
            <w:pPr>
              <w:spacing w:after="0" w:before="0"/>
              <w:jc w:val="left"/>
            </w:pPr>
            <w:r>
              <w:rPr>
                <w:b/>
                <w:bCs/>
                <w:color w:val="17212B"/>
                <w:sz w:val="19"/>
                <w:szCs w:val="19"/>
              </w:rPr>
              <w:t xml:space="preserve">Readiness</w:t>
            </w:r>
          </w:p>
        </w:tc>
        <w:tc>
          <w:tcPr>
            <w:tcW w:type="dxa" w:w="656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Blocked (45)</w:t>
            </w:r>
          </w:p>
        </w:tc>
      </w:tr>
      <w:tr>
        <w:trPr>
          <w:tblHeader w:val="false"/>
        </w:trPr>
        <w:tc>
          <w:tcPr>
            <w:tcW w:type="dxa" w:w="2800"/>
            <w:shd w:fill="FFFFFF" w:val="clear"/>
            <w:tcMar>
              <w:top w:type="dxa" w:w="100"/>
              <w:left w:type="dxa" w:w="120"/>
              <w:bottom w:type="dxa" w:w="100"/>
              <w:right w:type="dxa" w:w="120"/>
            </w:tcMar>
            <w:vAlign w:val="center"/>
          </w:tcPr>
          <w:p>
            <w:pPr>
              <w:spacing w:after="0" w:before="0"/>
              <w:jc w:val="left"/>
            </w:pPr>
            <w:r>
              <w:rPr>
                <w:b/>
                <w:bCs/>
                <w:color w:val="17212B"/>
                <w:sz w:val="19"/>
                <w:szCs w:val="19"/>
              </w:rPr>
              <w:t xml:space="preserve">Final approval</w:t>
            </w:r>
          </w:p>
        </w:tc>
        <w:tc>
          <w:tcPr>
            <w:tcW w:type="dxa" w:w="656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Not issued</w:t>
            </w:r>
          </w:p>
        </w:tc>
      </w:tr>
      <w:tr>
        <w:trPr>
          <w:tblHeader w:val="false"/>
        </w:trPr>
        <w:tc>
          <w:tcPr>
            <w:tcW w:type="dxa" w:w="2800"/>
            <w:shd w:fill="EEF3F7" w:val="clear"/>
            <w:tcMar>
              <w:top w:type="dxa" w:w="100"/>
              <w:left w:type="dxa" w:w="120"/>
              <w:bottom w:type="dxa" w:w="100"/>
              <w:right w:type="dxa" w:w="120"/>
            </w:tcMar>
            <w:vAlign w:val="center"/>
          </w:tcPr>
          <w:p>
            <w:pPr>
              <w:spacing w:after="0" w:before="0"/>
              <w:jc w:val="left"/>
            </w:pPr>
            <w:r>
              <w:rPr>
                <w:b/>
                <w:bCs/>
                <w:color w:val="17212B"/>
                <w:sz w:val="19"/>
                <w:szCs w:val="19"/>
              </w:rPr>
              <w:t xml:space="preserve">Source pack</w:t>
            </w:r>
          </w:p>
        </w:tc>
        <w:tc>
          <w:tcPr>
            <w:tcW w:type="dxa" w:w="656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Immutable and preserved</w:t>
            </w:r>
          </w:p>
        </w:tc>
      </w:tr>
    </w:tbl>
    <w:p>
      <w:pPr>
        <w:pStyle w:val="Heading1"/>
        <w:keepNext/>
      </w:pPr>
      <w:r>
        <w:t xml:space="preserve">Evidence, Trust, and Signing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00"/>
        <w:gridCol w:w="100"/>
      </w:tblGrid>
      <w:tr>
        <w:trPr>
          <w:tblHeader w:val="false"/>
        </w:trPr>
        <w:tc>
          <w:tcPr>
            <w:tcW w:type="dxa" w:w="2800"/>
            <w:shd w:fill="EEF3F7" w:val="clear"/>
            <w:tcMar>
              <w:top w:type="dxa" w:w="100"/>
              <w:left w:type="dxa" w:w="120"/>
              <w:bottom w:type="dxa" w:w="100"/>
              <w:right w:type="dxa" w:w="120"/>
            </w:tcMar>
            <w:vAlign w:val="center"/>
          </w:tcPr>
          <w:p>
            <w:pPr>
              <w:spacing w:after="0" w:before="0"/>
              <w:jc w:val="left"/>
            </w:pPr>
            <w:r>
              <w:rPr>
                <w:b/>
                <w:bCs/>
                <w:color w:val="17212B"/>
                <w:sz w:val="19"/>
                <w:szCs w:val="19"/>
              </w:rPr>
              <w:t xml:space="preserve">Signed pack</w:t>
            </w:r>
          </w:p>
        </w:tc>
        <w:tc>
          <w:tcPr>
            <w:tcW w:type="dxa" w:w="656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PF-20260527-AZ8QA</w:t>
            </w:r>
          </w:p>
        </w:tc>
      </w:tr>
      <w:tr>
        <w:trPr>
          <w:tblHeader w:val="false"/>
        </w:trPr>
        <w:tc>
          <w:tcPr>
            <w:tcW w:type="dxa" w:w="2800"/>
            <w:shd w:fill="FFFFFF" w:val="clear"/>
            <w:tcMar>
              <w:top w:type="dxa" w:w="100"/>
              <w:left w:type="dxa" w:w="120"/>
              <w:bottom w:type="dxa" w:w="100"/>
              <w:right w:type="dxa" w:w="120"/>
            </w:tcMar>
            <w:vAlign w:val="center"/>
          </w:tcPr>
          <w:p>
            <w:pPr>
              <w:spacing w:after="0" w:before="0"/>
              <w:jc w:val="left"/>
            </w:pPr>
            <w:r>
              <w:rPr>
                <w:b/>
                <w:bCs/>
                <w:color w:val="17212B"/>
                <w:sz w:val="19"/>
                <w:szCs w:val="19"/>
              </w:rPr>
              <w:t xml:space="preserve">Verification</w:t>
            </w:r>
          </w:p>
        </w:tc>
        <w:tc>
          <w:tcPr>
            <w:tcW w:type="dxa" w:w="656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Verified</w:t>
            </w:r>
          </w:p>
        </w:tc>
      </w:tr>
      <w:tr>
        <w:trPr>
          <w:tblHeader w:val="false"/>
        </w:trPr>
        <w:tc>
          <w:tcPr>
            <w:tcW w:type="dxa" w:w="2800"/>
            <w:shd w:fill="EEF3F7" w:val="clear"/>
            <w:tcMar>
              <w:top w:type="dxa" w:w="100"/>
              <w:left w:type="dxa" w:w="120"/>
              <w:bottom w:type="dxa" w:w="100"/>
              <w:right w:type="dxa" w:w="120"/>
            </w:tcMar>
            <w:vAlign w:val="center"/>
          </w:tcPr>
          <w:p>
            <w:pPr>
              <w:spacing w:after="0" w:before="0"/>
              <w:jc w:val="left"/>
            </w:pPr>
            <w:r>
              <w:rPr>
                <w:b/>
                <w:bCs/>
                <w:color w:val="17212B"/>
                <w:sz w:val="19"/>
                <w:szCs w:val="19"/>
              </w:rPr>
              <w:t xml:space="preserve">Signing provider</w:t>
            </w:r>
          </w:p>
        </w:tc>
        <w:tc>
          <w:tcPr>
            <w:tcW w:type="dxa" w:w="656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Azure Key Vault</w:t>
            </w:r>
          </w:p>
        </w:tc>
      </w:tr>
      <w:tr>
        <w:trPr>
          <w:tblHeader w:val="false"/>
        </w:trPr>
        <w:tc>
          <w:tcPr>
            <w:tcW w:type="dxa" w:w="2800"/>
            <w:shd w:fill="FFFFFF" w:val="clear"/>
            <w:tcMar>
              <w:top w:type="dxa" w:w="100"/>
              <w:left w:type="dxa" w:w="120"/>
              <w:bottom w:type="dxa" w:w="100"/>
              <w:right w:type="dxa" w:w="120"/>
            </w:tcMar>
            <w:vAlign w:val="center"/>
          </w:tcPr>
          <w:p>
            <w:pPr>
              <w:spacing w:after="0" w:before="0"/>
              <w:jc w:val="left"/>
            </w:pPr>
            <w:r>
              <w:rPr>
                <w:b/>
                <w:bCs/>
                <w:color w:val="17212B"/>
                <w:sz w:val="19"/>
                <w:szCs w:val="19"/>
              </w:rPr>
              <w:t xml:space="preserve">Signature algorithm</w:t>
            </w:r>
          </w:p>
        </w:tc>
        <w:tc>
          <w:tcPr>
            <w:tcW w:type="dxa" w:w="656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Ed25519</w:t>
            </w:r>
          </w:p>
        </w:tc>
      </w:tr>
      <w:tr>
        <w:trPr>
          <w:tblHeader w:val="false"/>
        </w:trPr>
        <w:tc>
          <w:tcPr>
            <w:tcW w:type="dxa" w:w="2800"/>
            <w:shd w:fill="EEF3F7" w:val="clear"/>
            <w:tcMar>
              <w:top w:type="dxa" w:w="100"/>
              <w:left w:type="dxa" w:w="120"/>
              <w:bottom w:type="dxa" w:w="100"/>
              <w:right w:type="dxa" w:w="120"/>
            </w:tcMar>
            <w:vAlign w:val="center"/>
          </w:tcPr>
          <w:p>
            <w:pPr>
              <w:spacing w:after="0" w:before="0"/>
              <w:jc w:val="left"/>
            </w:pPr>
            <w:r>
              <w:rPr>
                <w:b/>
                <w:bCs/>
                <w:color w:val="17212B"/>
                <w:sz w:val="19"/>
                <w:szCs w:val="19"/>
              </w:rPr>
              <w:t xml:space="preserve">Governance manifest SHA-256</w:t>
            </w:r>
          </w:p>
        </w:tc>
        <w:tc>
          <w:tcPr>
            <w:tcW w:type="dxa" w:w="656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qa-hash</w:t>
            </w:r>
          </w:p>
        </w:tc>
      </w:tr>
      <w:tr>
        <w:trPr>
          <w:tblHeader w:val="false"/>
        </w:trPr>
        <w:tc>
          <w:tcPr>
            <w:tcW w:type="dxa" w:w="2800"/>
            <w:shd w:fill="FFFFFF" w:val="clear"/>
            <w:tcMar>
              <w:top w:type="dxa" w:w="100"/>
              <w:left w:type="dxa" w:w="120"/>
              <w:bottom w:type="dxa" w:w="100"/>
              <w:right w:type="dxa" w:w="120"/>
            </w:tcMar>
            <w:vAlign w:val="center"/>
          </w:tcPr>
          <w:p>
            <w:pPr>
              <w:spacing w:after="0" w:before="0"/>
              <w:jc w:val="left"/>
            </w:pPr>
            <w:r>
              <w:rPr>
                <w:b/>
                <w:bCs/>
                <w:color w:val="17212B"/>
                <w:sz w:val="19"/>
                <w:szCs w:val="19"/>
              </w:rPr>
              <w:t xml:space="preserve">Evidence references</w:t>
            </w:r>
          </w:p>
        </w:tc>
        <w:tc>
          <w:tcPr>
            <w:tcW w:type="dxa" w:w="656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1</w:t>
            </w:r>
          </w:p>
        </w:tc>
      </w:tr>
    </w:tbl>
    <w:p>
      <w:pPr>
        <w:pStyle w:val="Heading1"/>
        <w:keepNext/>
      </w:pPr>
      <w:r>
        <w:t xml:space="preserve">Source Intelligence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00"/>
        <w:gridCol w:w="100"/>
        <w:gridCol w:w="100"/>
        <w:gridCol w:w="100"/>
      </w:tblGrid>
      <w:tr>
        <w:trPr>
          <w:tblHeader/>
        </w:trPr>
        <w:tc>
          <w:tcPr>
            <w:tcW w:type="dxa" w:w="3180"/>
            <w:shd w:fill="1D3C5A" w:val="clear"/>
            <w:tcMar>
              <w:top w:type="dxa" w:w="100"/>
              <w:left w:type="dxa" w:w="120"/>
              <w:bottom w:type="dxa" w:w="100"/>
              <w:right w:type="dxa" w:w="120"/>
            </w:tcMar>
            <w:vAlign w:val="center"/>
          </w:tcPr>
          <w:p>
            <w:pPr>
              <w:spacing w:after="0" w:before="0"/>
              <w:jc w:val="left"/>
            </w:pPr>
            <w:r>
              <w:rPr>
                <w:b/>
                <w:bCs/>
                <w:color w:val="FFFFFF"/>
                <w:sz w:val="19"/>
                <w:szCs w:val="19"/>
              </w:rPr>
              <w:t xml:space="preserve">Source ref</w:t>
            </w:r>
          </w:p>
        </w:tc>
        <w:tc>
          <w:tcPr>
            <w:tcW w:type="dxa" w:w="2240"/>
            <w:shd w:fill="1D3C5A" w:val="clear"/>
            <w:tcMar>
              <w:top w:type="dxa" w:w="100"/>
              <w:left w:type="dxa" w:w="120"/>
              <w:bottom w:type="dxa" w:w="100"/>
              <w:right w:type="dxa" w:w="120"/>
            </w:tcMar>
            <w:vAlign w:val="center"/>
          </w:tcPr>
          <w:p>
            <w:pPr>
              <w:spacing w:after="0" w:before="0"/>
              <w:jc w:val="center"/>
            </w:pPr>
            <w:r>
              <w:rPr>
                <w:b/>
                <w:bCs/>
                <w:color w:val="FFFFFF"/>
                <w:sz w:val="19"/>
                <w:szCs w:val="19"/>
              </w:rPr>
              <w:t xml:space="preserve">Class</w:t>
            </w:r>
          </w:p>
        </w:tc>
        <w:tc>
          <w:tcPr>
            <w:tcW w:type="dxa" w:w="1880"/>
            <w:shd w:fill="1D3C5A" w:val="clear"/>
            <w:tcMar>
              <w:top w:type="dxa" w:w="100"/>
              <w:left w:type="dxa" w:w="120"/>
              <w:bottom w:type="dxa" w:w="100"/>
              <w:right w:type="dxa" w:w="120"/>
            </w:tcMar>
            <w:vAlign w:val="center"/>
          </w:tcPr>
          <w:p>
            <w:pPr>
              <w:spacing w:after="0" w:before="0"/>
              <w:jc w:val="center"/>
            </w:pPr>
            <w:r>
              <w:rPr>
                <w:b/>
                <w:bCs/>
                <w:color w:val="FFFFFF"/>
                <w:sz w:val="19"/>
                <w:szCs w:val="19"/>
              </w:rPr>
              <w:t xml:space="preserve">Review</w:t>
            </w:r>
          </w:p>
        </w:tc>
        <w:tc>
          <w:tcPr>
            <w:tcW w:type="dxa" w:w="2060"/>
            <w:shd w:fill="1D3C5A" w:val="clear"/>
            <w:tcMar>
              <w:top w:type="dxa" w:w="100"/>
              <w:left w:type="dxa" w:w="120"/>
              <w:bottom w:type="dxa" w:w="100"/>
              <w:right w:type="dxa" w:w="120"/>
            </w:tcMar>
            <w:vAlign w:val="center"/>
          </w:tcPr>
          <w:p>
            <w:pPr>
              <w:spacing w:after="0" w:before="0"/>
              <w:jc w:val="center"/>
            </w:pPr>
            <w:r>
              <w:rPr>
                <w:b/>
                <w:bCs/>
                <w:color w:val="FFFFFF"/>
                <w:sz w:val="19"/>
                <w:szCs w:val="19"/>
              </w:rPr>
              <w:t xml:space="preserve">Evidence</w:t>
            </w:r>
          </w:p>
        </w:tc>
      </w:tr>
      <w:tr>
        <w:trPr>
          <w:tblHeader w:val="false"/>
        </w:trPr>
        <w:tc>
          <w:tcPr>
            <w:tcW w:type="dxa" w:w="318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src-cisa-kev-az8</w:t>
            </w:r>
          </w:p>
        </w:tc>
        <w:tc>
          <w:tcPr>
            <w:tcW w:type="dxa" w:w="224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Kev Record</w:t>
            </w:r>
          </w:p>
        </w:tc>
        <w:tc>
          <w:tcPr>
            <w:tcW w:type="dxa" w:w="188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Pending Review</w:t>
            </w:r>
          </w:p>
        </w:tc>
        <w:tc>
          <w:tcPr>
            <w:tcW w:type="dxa" w:w="206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Referenced</w:t>
            </w:r>
          </w:p>
        </w:tc>
      </w:tr>
    </w:tbl>
    <w:p>
      <w:pPr>
        <w:pStyle w:val="Heading1"/>
        <w:keepNext/>
      </w:pPr>
      <w:r>
        <w:t xml:space="preserve">Bayesian Advisory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00"/>
        <w:gridCol w:w="100"/>
      </w:tblGrid>
      <w:tr>
        <w:trPr>
          <w:tblHeader w:val="false"/>
        </w:trPr>
        <w:tc>
          <w:tcPr>
            <w:tcW w:type="dxa" w:w="2800"/>
            <w:shd w:fill="EEF3F7" w:val="clear"/>
            <w:tcMar>
              <w:top w:type="dxa" w:w="100"/>
              <w:left w:type="dxa" w:w="120"/>
              <w:bottom w:type="dxa" w:w="100"/>
              <w:right w:type="dxa" w:w="120"/>
            </w:tcMar>
            <w:vAlign w:val="center"/>
          </w:tcPr>
          <w:p>
            <w:pPr>
              <w:spacing w:after="0" w:before="0"/>
              <w:jc w:val="left"/>
            </w:pPr>
            <w:r>
              <w:rPr>
                <w:b/>
                <w:bCs/>
                <w:color w:val="17212B"/>
                <w:sz w:val="19"/>
                <w:szCs w:val="19"/>
              </w:rPr>
              <w:t xml:space="preserve">Availability</w:t>
            </w:r>
          </w:p>
        </w:tc>
        <w:tc>
          <w:tcPr>
            <w:tcW w:type="dxa" w:w="656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Generated</w:t>
            </w:r>
          </w:p>
        </w:tc>
      </w:tr>
      <w:tr>
        <w:trPr>
          <w:tblHeader w:val="false"/>
        </w:trPr>
        <w:tc>
          <w:tcPr>
            <w:tcW w:type="dxa" w:w="2800"/>
            <w:shd w:fill="FFFFFF" w:val="clear"/>
            <w:tcMar>
              <w:top w:type="dxa" w:w="100"/>
              <w:left w:type="dxa" w:w="120"/>
              <w:bottom w:type="dxa" w:w="100"/>
              <w:right w:type="dxa" w:w="120"/>
            </w:tcMar>
            <w:vAlign w:val="center"/>
          </w:tcPr>
          <w:p>
            <w:pPr>
              <w:spacing w:after="0" w:before="0"/>
              <w:jc w:val="left"/>
            </w:pPr>
            <w:r>
              <w:rPr>
                <w:b/>
                <w:bCs/>
                <w:color w:val="17212B"/>
                <w:sz w:val="19"/>
                <w:szCs w:val="19"/>
              </w:rPr>
              <w:t xml:space="preserve">Advisory boundary</w:t>
            </w:r>
          </w:p>
        </w:tc>
        <w:tc>
          <w:tcPr>
            <w:tcW w:type="dxa" w:w="656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Advisory only; cannot close gates or approve risk</w:t>
            </w:r>
          </w:p>
        </w:tc>
      </w:tr>
      <w:tr>
        <w:trPr>
          <w:tblHeader w:val="false"/>
        </w:trPr>
        <w:tc>
          <w:tcPr>
            <w:tcW w:type="dxa" w:w="2800"/>
            <w:shd w:fill="EEF3F7" w:val="clear"/>
            <w:tcMar>
              <w:top w:type="dxa" w:w="100"/>
              <w:left w:type="dxa" w:w="120"/>
              <w:bottom w:type="dxa" w:w="100"/>
              <w:right w:type="dxa" w:w="120"/>
            </w:tcMar>
            <w:vAlign w:val="center"/>
          </w:tcPr>
          <w:p>
            <w:pPr>
              <w:spacing w:after="0" w:before="0"/>
              <w:jc w:val="left"/>
            </w:pPr>
            <w:r>
              <w:rPr>
                <w:b/>
                <w:bCs/>
                <w:color w:val="17212B"/>
                <w:sz w:val="19"/>
                <w:szCs w:val="19"/>
              </w:rPr>
              <w:t xml:space="preserve">Recommended posture</w:t>
            </w:r>
          </w:p>
        </w:tc>
        <w:tc>
          <w:tcPr>
            <w:tcW w:type="dxa" w:w="656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Emergency Change Required</w:t>
            </w:r>
          </w:p>
        </w:tc>
      </w:tr>
      <w:tr>
        <w:trPr>
          <w:tblHeader w:val="false"/>
        </w:trPr>
        <w:tc>
          <w:tcPr>
            <w:tcW w:type="dxa" w:w="2800"/>
            <w:shd w:fill="FFFFFF" w:val="clear"/>
            <w:tcMar>
              <w:top w:type="dxa" w:w="100"/>
              <w:left w:type="dxa" w:w="120"/>
              <w:bottom w:type="dxa" w:w="100"/>
              <w:right w:type="dxa" w:w="120"/>
            </w:tcMar>
            <w:vAlign w:val="center"/>
          </w:tcPr>
          <w:p>
            <w:pPr>
              <w:spacing w:after="0" w:before="0"/>
              <w:jc w:val="left"/>
            </w:pPr>
            <w:r>
              <w:rPr>
                <w:b/>
                <w:bCs/>
                <w:color w:val="17212B"/>
                <w:sz w:val="19"/>
                <w:szCs w:val="19"/>
              </w:rPr>
              <w:t xml:space="preserve">Exploit probability posterior</w:t>
            </w:r>
          </w:p>
        </w:tc>
        <w:tc>
          <w:tcPr>
            <w:tcW w:type="dxa" w:w="656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82%</w:t>
            </w:r>
          </w:p>
        </w:tc>
      </w:tr>
      <w:tr>
        <w:trPr>
          <w:tblHeader w:val="false"/>
        </w:trPr>
        <w:tc>
          <w:tcPr>
            <w:tcW w:type="dxa" w:w="2800"/>
            <w:shd w:fill="EEF3F7" w:val="clear"/>
            <w:tcMar>
              <w:top w:type="dxa" w:w="100"/>
              <w:left w:type="dxa" w:w="120"/>
              <w:bottom w:type="dxa" w:w="100"/>
              <w:right w:type="dxa" w:w="120"/>
            </w:tcMar>
            <w:vAlign w:val="center"/>
          </w:tcPr>
          <w:p>
            <w:pPr>
              <w:spacing w:after="0" w:before="0"/>
              <w:jc w:val="left"/>
            </w:pPr>
            <w:r>
              <w:rPr>
                <w:b/>
                <w:bCs/>
                <w:color w:val="17212B"/>
                <w:sz w:val="19"/>
                <w:szCs w:val="19"/>
              </w:rPr>
              <w:t xml:space="preserve">Business impact posterior</w:t>
            </w:r>
          </w:p>
        </w:tc>
        <w:tc>
          <w:tcPr>
            <w:tcW w:type="dxa" w:w="656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73%</w:t>
            </w:r>
          </w:p>
        </w:tc>
      </w:tr>
      <w:tr>
        <w:trPr>
          <w:tblHeader w:val="false"/>
        </w:trPr>
        <w:tc>
          <w:tcPr>
            <w:tcW w:type="dxa" w:w="2800"/>
            <w:shd w:fill="FFFFFF" w:val="clear"/>
            <w:tcMar>
              <w:top w:type="dxa" w:w="100"/>
              <w:left w:type="dxa" w:w="120"/>
              <w:bottom w:type="dxa" w:w="100"/>
              <w:right w:type="dxa" w:w="120"/>
            </w:tcMar>
            <w:vAlign w:val="center"/>
          </w:tcPr>
          <w:p>
            <w:pPr>
              <w:spacing w:after="0" w:before="0"/>
              <w:jc w:val="left"/>
            </w:pPr>
            <w:r>
              <w:rPr>
                <w:b/>
                <w:bCs/>
                <w:color w:val="17212B"/>
                <w:sz w:val="19"/>
                <w:szCs w:val="19"/>
              </w:rPr>
              <w:t xml:space="preserve">Patch feasibility posterior</w:t>
            </w:r>
          </w:p>
        </w:tc>
        <w:tc>
          <w:tcPr>
            <w:tcW w:type="dxa" w:w="656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64%</w:t>
            </w:r>
          </w:p>
        </w:tc>
      </w:tr>
      <w:tr>
        <w:trPr>
          <w:tblHeader w:val="false"/>
        </w:trPr>
        <w:tc>
          <w:tcPr>
            <w:tcW w:type="dxa" w:w="2800"/>
            <w:shd w:fill="EEF3F7" w:val="clear"/>
            <w:tcMar>
              <w:top w:type="dxa" w:w="100"/>
              <w:left w:type="dxa" w:w="120"/>
              <w:bottom w:type="dxa" w:w="100"/>
              <w:right w:type="dxa" w:w="120"/>
            </w:tcMar>
            <w:vAlign w:val="center"/>
          </w:tcPr>
          <w:p>
            <w:pPr>
              <w:spacing w:after="0" w:before="0"/>
              <w:jc w:val="left"/>
            </w:pPr>
            <w:r>
              <w:rPr>
                <w:b/>
                <w:bCs/>
                <w:color w:val="17212B"/>
                <w:sz w:val="19"/>
                <w:szCs w:val="19"/>
              </w:rPr>
              <w:t xml:space="preserve">Change risk posterior</w:t>
            </w:r>
          </w:p>
        </w:tc>
        <w:tc>
          <w:tcPr>
            <w:tcW w:type="dxa" w:w="656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42%</w:t>
            </w:r>
          </w:p>
        </w:tc>
      </w:tr>
      <w:tr>
        <w:trPr>
          <w:tblHeader w:val="false"/>
        </w:trPr>
        <w:tc>
          <w:tcPr>
            <w:tcW w:type="dxa" w:w="2800"/>
            <w:shd w:fill="FFFFFF" w:val="clear"/>
            <w:tcMar>
              <w:top w:type="dxa" w:w="100"/>
              <w:left w:type="dxa" w:w="120"/>
              <w:bottom w:type="dxa" w:w="100"/>
              <w:right w:type="dxa" w:w="120"/>
            </w:tcMar>
            <w:vAlign w:val="center"/>
          </w:tcPr>
          <w:p>
            <w:pPr>
              <w:spacing w:after="0" w:before="0"/>
              <w:jc w:val="left"/>
            </w:pPr>
            <w:r>
              <w:rPr>
                <w:b/>
                <w:bCs/>
                <w:color w:val="17212B"/>
                <w:sz w:val="19"/>
                <w:szCs w:val="19"/>
              </w:rPr>
              <w:t xml:space="preserve">Deferral risk posterior</w:t>
            </w:r>
          </w:p>
        </w:tc>
        <w:tc>
          <w:tcPr>
            <w:tcW w:type="dxa" w:w="656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78%</w:t>
            </w:r>
          </w:p>
        </w:tc>
      </w:tr>
    </w:tbl>
    <w:p>
      <w:pPr>
        <w:pStyle w:val="Heading1"/>
        <w:keepNext/>
      </w:pPr>
      <w:r>
        <w:t xml:space="preserve">Vendor and Threat Landscape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00"/>
        <w:gridCol w:w="100"/>
      </w:tblGrid>
      <w:tr>
        <w:trPr>
          <w:tblHeader w:val="false"/>
        </w:trPr>
        <w:tc>
          <w:tcPr>
            <w:tcW w:type="dxa" w:w="2800"/>
            <w:shd w:fill="EEF3F7" w:val="clear"/>
            <w:tcMar>
              <w:top w:type="dxa" w:w="100"/>
              <w:left w:type="dxa" w:w="120"/>
              <w:bottom w:type="dxa" w:w="100"/>
              <w:right w:type="dxa" w:w="120"/>
            </w:tcMar>
            <w:vAlign w:val="center"/>
          </w:tcPr>
          <w:p>
            <w:pPr>
              <w:spacing w:after="0" w:before="0"/>
              <w:jc w:val="left"/>
            </w:pPr>
            <w:r>
              <w:rPr>
                <w:b/>
                <w:bCs/>
                <w:color w:val="17212B"/>
                <w:sz w:val="19"/>
                <w:szCs w:val="19"/>
              </w:rPr>
              <w:t xml:space="preserve">Vendor intelligence</w:t>
            </w:r>
          </w:p>
        </w:tc>
        <w:tc>
          <w:tcPr>
            <w:tcW w:type="dxa" w:w="656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Source-bound</w:t>
            </w:r>
          </w:p>
        </w:tc>
      </w:tr>
      <w:tr>
        <w:trPr>
          <w:tblHeader w:val="false"/>
        </w:trPr>
        <w:tc>
          <w:tcPr>
            <w:tcW w:type="dxa" w:w="2800"/>
            <w:shd w:fill="FFFFFF" w:val="clear"/>
            <w:tcMar>
              <w:top w:type="dxa" w:w="100"/>
              <w:left w:type="dxa" w:w="120"/>
              <w:bottom w:type="dxa" w:w="100"/>
              <w:right w:type="dxa" w:w="120"/>
            </w:tcMar>
            <w:vAlign w:val="center"/>
          </w:tcPr>
          <w:p>
            <w:pPr>
              <w:spacing w:after="0" w:before="0"/>
              <w:jc w:val="left"/>
            </w:pPr>
            <w:r>
              <w:rPr>
                <w:b/>
                <w:bCs/>
                <w:color w:val="17212B"/>
                <w:sz w:val="19"/>
                <w:szCs w:val="19"/>
              </w:rPr>
              <w:t xml:space="preserve">Threat landscape</w:t>
            </w:r>
          </w:p>
        </w:tc>
        <w:tc>
          <w:tcPr>
            <w:tcW w:type="dxa" w:w="656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Source-bound</w:t>
            </w:r>
          </w:p>
        </w:tc>
      </w:tr>
      <w:tr>
        <w:trPr>
          <w:tblHeader w:val="false"/>
        </w:trPr>
        <w:tc>
          <w:tcPr>
            <w:tcW w:type="dxa" w:w="2800"/>
            <w:shd w:fill="EEF3F7" w:val="clear"/>
            <w:tcMar>
              <w:top w:type="dxa" w:w="100"/>
              <w:left w:type="dxa" w:w="120"/>
              <w:bottom w:type="dxa" w:w="100"/>
              <w:right w:type="dxa" w:w="120"/>
            </w:tcMar>
            <w:vAlign w:val="center"/>
          </w:tcPr>
          <w:p>
            <w:pPr>
              <w:spacing w:after="0" w:before="0"/>
              <w:jc w:val="left"/>
            </w:pPr>
            <w:r>
              <w:rPr>
                <w:b/>
                <w:bCs/>
                <w:color w:val="17212B"/>
                <w:sz w:val="19"/>
                <w:szCs w:val="19"/>
              </w:rPr>
              <w:t xml:space="preserve">Active exploitation signals</w:t>
            </w:r>
          </w:p>
        </w:tc>
        <w:tc>
          <w:tcPr>
            <w:tcW w:type="dxa" w:w="656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1</w:t>
            </w:r>
          </w:p>
        </w:tc>
      </w:tr>
      <w:tr>
        <w:trPr>
          <w:tblHeader w:val="false"/>
        </w:trPr>
        <w:tc>
          <w:tcPr>
            <w:tcW w:type="dxa" w:w="2800"/>
            <w:shd w:fill="FFFFFF" w:val="clear"/>
            <w:tcMar>
              <w:top w:type="dxa" w:w="100"/>
              <w:left w:type="dxa" w:w="120"/>
              <w:bottom w:type="dxa" w:w="100"/>
              <w:right w:type="dxa" w:w="120"/>
            </w:tcMar>
            <w:vAlign w:val="center"/>
          </w:tcPr>
          <w:p>
            <w:pPr>
              <w:spacing w:after="0" w:before="0"/>
              <w:jc w:val="left"/>
            </w:pPr>
            <w:r>
              <w:rPr>
                <w:b/>
                <w:bCs/>
                <w:color w:val="17212B"/>
                <w:sz w:val="19"/>
                <w:szCs w:val="19"/>
              </w:rPr>
              <w:t xml:space="preserve">Critical open advisories</w:t>
            </w:r>
          </w:p>
        </w:tc>
        <w:tc>
          <w:tcPr>
            <w:tcW w:type="dxa" w:w="656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1</w:t>
            </w:r>
          </w:p>
        </w:tc>
      </w:tr>
      <w:tr>
        <w:trPr>
          <w:tblHeader w:val="false"/>
        </w:trPr>
        <w:tc>
          <w:tcPr>
            <w:tcW w:type="dxa" w:w="2800"/>
            <w:shd w:fill="EEF3F7" w:val="clear"/>
            <w:tcMar>
              <w:top w:type="dxa" w:w="100"/>
              <w:left w:type="dxa" w:w="120"/>
              <w:bottom w:type="dxa" w:w="100"/>
              <w:right w:type="dxa" w:w="120"/>
            </w:tcMar>
            <w:vAlign w:val="center"/>
          </w:tcPr>
          <w:p>
            <w:pPr>
              <w:spacing w:after="0" w:before="0"/>
              <w:jc w:val="left"/>
            </w:pPr>
            <w:r>
              <w:rPr>
                <w:b/>
                <w:bCs/>
                <w:color w:val="17212B"/>
                <w:sz w:val="19"/>
                <w:szCs w:val="19"/>
              </w:rPr>
              <w:t xml:space="preserve">Patch maturity</w:t>
            </w:r>
          </w:p>
        </w:tc>
        <w:tc>
          <w:tcPr>
            <w:tcW w:type="dxa" w:w="656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Available</w:t>
            </w:r>
          </w:p>
        </w:tc>
      </w:tr>
      <w:tr>
        <w:trPr>
          <w:tblHeader w:val="false"/>
        </w:trPr>
        <w:tc>
          <w:tcPr>
            <w:tcW w:type="dxa" w:w="2800"/>
            <w:shd w:fill="FFFFFF" w:val="clear"/>
            <w:tcMar>
              <w:top w:type="dxa" w:w="100"/>
              <w:left w:type="dxa" w:w="120"/>
              <w:bottom w:type="dxa" w:w="100"/>
              <w:right w:type="dxa" w:w="120"/>
            </w:tcMar>
            <w:vAlign w:val="center"/>
          </w:tcPr>
          <w:p>
            <w:pPr>
              <w:spacing w:after="0" w:before="0"/>
              <w:jc w:val="left"/>
            </w:pPr>
            <w:r>
              <w:rPr>
                <w:b/>
                <w:bCs/>
                <w:color w:val="17212B"/>
                <w:sz w:val="19"/>
                <w:szCs w:val="19"/>
              </w:rPr>
              <w:t xml:space="preserve">Source review</w:t>
            </w:r>
          </w:p>
        </w:tc>
        <w:tc>
          <w:tcPr>
            <w:tcW w:type="dxa" w:w="656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Pending review unless explicitly accepted</w:t>
            </w:r>
          </w:p>
        </w:tc>
      </w:tr>
    </w:tbl>
    <w:p>
      <w:pPr>
        <w:pStyle w:val="Heading1"/>
        <w:keepNext/>
      </w:pPr>
      <w:r>
        <w:t xml:space="preserve">Blockers and Required Human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00"/>
        <w:gridCol w:w="100"/>
        <w:gridCol w:w="100"/>
      </w:tblGrid>
      <w:tr>
        <w:trPr>
          <w:tblHeader/>
        </w:trPr>
        <w:tc>
          <w:tcPr>
            <w:tcW w:type="dxa" w:w="3180"/>
            <w:shd w:fill="1D3C5A" w:val="clear"/>
            <w:tcMar>
              <w:top w:type="dxa" w:w="100"/>
              <w:left w:type="dxa" w:w="120"/>
              <w:bottom w:type="dxa" w:w="100"/>
              <w:right w:type="dxa" w:w="120"/>
            </w:tcMar>
            <w:vAlign w:val="center"/>
          </w:tcPr>
          <w:p>
            <w:pPr>
              <w:spacing w:after="0" w:before="0"/>
              <w:jc w:val="left"/>
            </w:pPr>
            <w:r>
              <w:rPr>
                <w:b/>
                <w:bCs/>
                <w:color w:val="FFFFFF"/>
                <w:sz w:val="19"/>
                <w:szCs w:val="19"/>
              </w:rPr>
              <w:t xml:space="preserve">Blocker / Action</w:t>
            </w:r>
          </w:p>
        </w:tc>
        <w:tc>
          <w:tcPr>
            <w:tcW w:type="dxa" w:w="2620"/>
            <w:shd w:fill="1D3C5A" w:val="clear"/>
            <w:tcMar>
              <w:top w:type="dxa" w:w="100"/>
              <w:left w:type="dxa" w:w="120"/>
              <w:bottom w:type="dxa" w:w="100"/>
              <w:right w:type="dxa" w:w="120"/>
            </w:tcMar>
            <w:vAlign w:val="center"/>
          </w:tcPr>
          <w:p>
            <w:pPr>
              <w:spacing w:after="0" w:before="0"/>
              <w:jc w:val="center"/>
            </w:pPr>
            <w:r>
              <w:rPr>
                <w:b/>
                <w:bCs/>
                <w:color w:val="FFFFFF"/>
                <w:sz w:val="19"/>
                <w:szCs w:val="19"/>
              </w:rPr>
              <w:t xml:space="preserve">Owner</w:t>
            </w:r>
          </w:p>
        </w:tc>
        <w:tc>
          <w:tcPr>
            <w:tcW w:type="dxa" w:w="3560"/>
            <w:shd w:fill="1D3C5A" w:val="clear"/>
            <w:tcMar>
              <w:top w:type="dxa" w:w="100"/>
              <w:left w:type="dxa" w:w="120"/>
              <w:bottom w:type="dxa" w:w="100"/>
              <w:right w:type="dxa" w:w="120"/>
            </w:tcMar>
            <w:vAlign w:val="center"/>
          </w:tcPr>
          <w:p>
            <w:pPr>
              <w:spacing w:after="0" w:before="0"/>
              <w:jc w:val="center"/>
            </w:pPr>
            <w:r>
              <w:rPr>
                <w:b/>
                <w:bCs/>
                <w:color w:val="FFFFFF"/>
                <w:sz w:val="19"/>
                <w:szCs w:val="19"/>
              </w:rPr>
              <w:t xml:space="preserve">Required outcome</w:t>
            </w:r>
          </w:p>
        </w:tc>
      </w:tr>
      <w:tr>
        <w:trPr>
          <w:tblHeader w:val="false"/>
        </w:trPr>
        <w:tc>
          <w:tcPr>
            <w:tcW w:type="dxa" w:w="318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Rollback Plan</w:t>
            </w:r>
          </w:p>
        </w:tc>
        <w:tc>
          <w:tcPr>
            <w:tcW w:type="dxa" w:w="262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Accountable service/security owner</w:t>
            </w:r>
          </w:p>
        </w:tc>
        <w:tc>
          <w:tcPr>
            <w:tcW w:type="dxa" w:w="356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Attach reviewed rollback evidence before close or emergency approval.</w:t>
            </w:r>
          </w:p>
        </w:tc>
      </w:tr>
      <w:tr>
        <w:trPr>
          <w:tblHeader w:val="false"/>
        </w:trPr>
        <w:tc>
          <w:tcPr>
            <w:tcW w:type="dxa" w:w="318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Test Evidence</w:t>
            </w:r>
          </w:p>
        </w:tc>
        <w:tc>
          <w:tcPr>
            <w:tcW w:type="dxa" w:w="2620"/>
            <w:shd w:fill="EEF3F7"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Accountable service/security owner</w:t>
            </w:r>
          </w:p>
        </w:tc>
        <w:tc>
          <w:tcPr>
            <w:tcW w:type="dxa" w:w="3560"/>
            <w:shd w:fill="EEF3F7"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Attach reviewed test evidence or record explicit deferral rationale.</w:t>
            </w:r>
          </w:p>
        </w:tc>
      </w:tr>
      <w:tr>
        <w:trPr>
          <w:tblHeader w:val="false"/>
        </w:trPr>
        <w:tc>
          <w:tcPr>
            <w:tcW w:type="dxa" w:w="318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Human Review Signoff</w:t>
            </w:r>
          </w:p>
        </w:tc>
        <w:tc>
          <w:tcPr>
            <w:tcW w:type="dxa" w:w="262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Accountable service/security owner</w:t>
            </w:r>
          </w:p>
        </w:tc>
        <w:tc>
          <w:tcPr>
            <w:tcW w:type="dxa" w:w="356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Record accountable approval event after evidence review.</w:t>
            </w:r>
          </w:p>
        </w:tc>
      </w:tr>
      <w:tr>
        <w:trPr>
          <w:tblHeader w:val="false"/>
        </w:trPr>
        <w:tc>
          <w:tcPr>
            <w:tcW w:type="dxa" w:w="318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Human approval</w:t>
            </w:r>
          </w:p>
        </w:tc>
        <w:tc>
          <w:tcPr>
            <w:tcW w:type="dxa" w:w="2620"/>
            <w:shd w:fill="EEF3F7"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CAB / security lead</w:t>
            </w:r>
          </w:p>
        </w:tc>
        <w:tc>
          <w:tcPr>
            <w:tcW w:type="dxa" w:w="3560"/>
            <w:shd w:fill="EEF3F7"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Explicit approval remains required</w:t>
            </w:r>
          </w:p>
        </w:tc>
      </w:tr>
    </w:tbl>
    <w:p>
      <w:pPr>
        <w:pStyle w:val="Heading1"/>
        <w:keepNext/>
      </w:pPr>
      <w:r>
        <w:t xml:space="preserve">Autonomous Analysis Completed</w:t>
      </w:r>
    </w:p>
    <w:p>
      <w:pPr>
        <w:pStyle w:val="ListParagraph"/>
        <w:numPr>
          <w:ilvl w:val="0"/>
          <w:numId w:val="1"/>
        </w:numPr>
        <w:spacing w:after="80"/>
      </w:pPr>
      <w:r>
        <w:rPr>
          <w:color w:val="17212B"/>
          <w:sz w:val="20"/>
          <w:szCs w:val="20"/>
        </w:rPr>
        <w:t xml:space="preserve">Normalised finding identity</w:t>
      </w:r>
    </w:p>
    <w:p>
      <w:pPr>
        <w:pStyle w:val="ListParagraph"/>
        <w:numPr>
          <w:ilvl w:val="0"/>
          <w:numId w:val="1"/>
        </w:numPr>
        <w:spacing w:after="80"/>
      </w:pPr>
      <w:r>
        <w:rPr>
          <w:color w:val="17212B"/>
          <w:sz w:val="20"/>
          <w:szCs w:val="20"/>
        </w:rPr>
        <w:t xml:space="preserve">Bound source provenance</w:t>
      </w:r>
    </w:p>
    <w:p>
      <w:pPr>
        <w:pStyle w:val="ListParagraph"/>
        <w:numPr>
          <w:ilvl w:val="0"/>
          <w:numId w:val="1"/>
        </w:numPr>
        <w:spacing w:after="80"/>
      </w:pPr>
      <w:r>
        <w:rPr>
          <w:color w:val="17212B"/>
          <w:sz w:val="20"/>
          <w:szCs w:val="20"/>
        </w:rPr>
        <w:t xml:space="preserve">Correlated KEV and exploitability context</w:t>
      </w:r>
    </w:p>
    <w:p>
      <w:pPr>
        <w:pStyle w:val="ListParagraph"/>
        <w:numPr>
          <w:ilvl w:val="0"/>
          <w:numId w:val="1"/>
        </w:numPr>
        <w:spacing w:after="80"/>
      </w:pPr>
      <w:r>
        <w:rPr>
          <w:color w:val="17212B"/>
          <w:sz w:val="20"/>
          <w:szCs w:val="20"/>
        </w:rPr>
        <w:t xml:space="preserve">Generated governance recommendation</w:t>
      </w:r>
    </w:p>
    <w:p>
      <w:pPr>
        <w:pStyle w:val="Heading1"/>
        <w:keepNext/>
      </w:pPr>
      <w:r>
        <w:t xml:space="preserve">Human Decisions Still Required</w:t>
      </w:r>
    </w:p>
    <w:p>
      <w:pPr>
        <w:pStyle w:val="ListParagraph"/>
        <w:numPr>
          <w:ilvl w:val="0"/>
          <w:numId w:val="1"/>
        </w:numPr>
        <w:spacing w:after="80"/>
      </w:pPr>
      <w:r>
        <w:rPr>
          <w:color w:val="17212B"/>
          <w:sz w:val="20"/>
          <w:szCs w:val="20"/>
        </w:rPr>
        <w:t xml:space="preserve">Review source evidence</w:t>
      </w:r>
    </w:p>
    <w:p>
      <w:pPr>
        <w:pStyle w:val="ListParagraph"/>
        <w:numPr>
          <w:ilvl w:val="0"/>
          <w:numId w:val="1"/>
        </w:numPr>
        <w:spacing w:after="80"/>
      </w:pPr>
      <w:r>
        <w:rPr>
          <w:color w:val="17212B"/>
          <w:sz w:val="20"/>
          <w:szCs w:val="20"/>
        </w:rPr>
        <w:t xml:space="preserve">Approve or withhold emergency change</w:t>
      </w:r>
    </w:p>
    <w:p>
      <w:pPr>
        <w:pStyle w:val="ListParagraph"/>
        <w:numPr>
          <w:ilvl w:val="0"/>
          <w:numId w:val="1"/>
        </w:numPr>
        <w:spacing w:after="80"/>
      </w:pPr>
      <w:r>
        <w:rPr>
          <w:color w:val="17212B"/>
          <w:sz w:val="20"/>
          <w:szCs w:val="20"/>
        </w:rPr>
        <w:t xml:space="preserve">Attach rollback and post-change validation evidence</w:t>
      </w:r>
    </w:p>
    <w:p>
      <w:pPr>
        <w:pStyle w:val="Heading1"/>
        <w:keepNext/>
      </w:pPr>
      <w:r>
        <w:t xml:space="preserve">Source-Pack and Current-State Separation</w:t>
      </w:r>
    </w:p>
    <w:p>
      <w:pPr>
        <w:spacing w:after="120"/>
      </w:pPr>
      <w:r>
        <w:t xml:space="preserve">The signed source pack preserves the compiled evidence state at generation time. Current-state overlays, post-pack evidence events, human approvals, and later reviews must be recorded as separate accountable events.</w:t>
      </w:r>
    </w:p>
    <w:p>
      <w:pPr>
        <w:pStyle w:val="Heading1"/>
        <w:keepNext/>
      </w:pPr>
      <w:r>
        <w:t xml:space="preserve">Decision Boundary</w:t>
      </w:r>
    </w:p>
    <w:p>
      <w:pPr>
        <w:pBdr>
          <w:left w:val="single" w:color="B7791F" w:sz="16"/>
        </w:pBdr>
        <w:shd w:fill="FFF6E4" w:val="clear"/>
        <w:spacing w:after="180" w:before="80"/>
        <w:ind w:left="160"/>
      </w:pPr>
      <w:r>
        <w:rPr>
          <w:b/>
          <w:bCs/>
          <w:color w:val="17212B"/>
        </w:rPr>
        <w:t xml:space="preserve">PatchForge is a governance product. It does not scan environments, generate exploit code, provide procedural exploit steps, deploy patches, mutate production systems, approve CAB decisions, or accept risk autonomously.</w:t>
      </w:r>
    </w:p>
    <w:p>
      <w:pPr>
        <w:pStyle w:val="Heading1"/>
        <w:keepNext/>
      </w:pPr>
      <w:r>
        <w:t xml:space="preserve">Appendix: Signed Artefacts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00"/>
        <w:gridCol w:w="100"/>
      </w:tblGrid>
      <w:tr>
        <w:trPr>
          <w:tblHeader/>
        </w:trPr>
        <w:tc>
          <w:tcPr>
            <w:tcW w:type="dxa" w:w="5800"/>
            <w:shd w:fill="1D3C5A" w:val="clear"/>
            <w:tcMar>
              <w:top w:type="dxa" w:w="100"/>
              <w:left w:type="dxa" w:w="120"/>
              <w:bottom w:type="dxa" w:w="100"/>
              <w:right w:type="dxa" w:w="120"/>
            </w:tcMar>
            <w:vAlign w:val="center"/>
          </w:tcPr>
          <w:p>
            <w:pPr>
              <w:spacing w:after="0" w:before="0"/>
              <w:jc w:val="left"/>
            </w:pPr>
            <w:r>
              <w:rPr>
                <w:b/>
                <w:bCs/>
                <w:color w:val="FFFFFF"/>
                <w:sz w:val="19"/>
                <w:szCs w:val="19"/>
              </w:rPr>
              <w:t xml:space="preserve">Artefact</w:t>
            </w:r>
          </w:p>
        </w:tc>
        <w:tc>
          <w:tcPr>
            <w:tcW w:type="dxa" w:w="3560"/>
            <w:shd w:fill="1D3C5A" w:val="clear"/>
            <w:tcMar>
              <w:top w:type="dxa" w:w="100"/>
              <w:left w:type="dxa" w:w="120"/>
              <w:bottom w:type="dxa" w:w="100"/>
              <w:right w:type="dxa" w:w="120"/>
            </w:tcMar>
            <w:vAlign w:val="center"/>
          </w:tcPr>
          <w:p>
            <w:pPr>
              <w:spacing w:after="0" w:before="0"/>
              <w:jc w:val="center"/>
            </w:pPr>
            <w:r>
              <w:rPr>
                <w:b/>
                <w:bCs/>
                <w:color w:val="FFFFFF"/>
                <w:sz w:val="19"/>
                <w:szCs w:val="19"/>
              </w:rPr>
              <w:t xml:space="preserve">Status</w:t>
            </w:r>
          </w:p>
        </w:tc>
      </w:tr>
      <w:tr>
        <w:trPr>
          <w:tblHeader w:val="false"/>
        </w:trPr>
        <w:tc>
          <w:tcPr>
            <w:tcW w:type="dxa" w:w="580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bayesian_patch_risk_snapshot.json</w:t>
            </w:r>
          </w:p>
        </w:tc>
        <w:tc>
          <w:tcPr>
            <w:tcW w:type="dxa" w:w="356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finding_intelligence_snapshot.json</w:t>
            </w:r>
          </w:p>
        </w:tc>
        <w:tc>
          <w:tcPr>
            <w:tcW w:type="dxa" w:w="3560"/>
            <w:shd w:fill="EEF3F7"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governance_manifest.json</w:t>
            </w:r>
          </w:p>
        </w:tc>
        <w:tc>
          <w:tcPr>
            <w:tcW w:type="dxa" w:w="356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human_review_state.json</w:t>
            </w:r>
          </w:p>
        </w:tc>
        <w:tc>
          <w:tcPr>
            <w:tcW w:type="dxa" w:w="3560"/>
            <w:shd w:fill="EEF3F7"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patch_decision_context.json</w:t>
            </w:r>
          </w:p>
        </w:tc>
        <w:tc>
          <w:tcPr>
            <w:tcW w:type="dxa" w:w="356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signed_export.sigmeta.json</w:t>
            </w:r>
          </w:p>
        </w:tc>
        <w:tc>
          <w:tcPr>
            <w:tcW w:type="dxa" w:w="3560"/>
            <w:shd w:fill="EEF3F7"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sra_trace.json</w:t>
            </w:r>
          </w:p>
        </w:tc>
        <w:tc>
          <w:tcPr>
            <w:tcW w:type="dxa" w:w="356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threat_landscape_snapshot.json</w:t>
            </w:r>
          </w:p>
        </w:tc>
        <w:tc>
          <w:tcPr>
            <w:tcW w:type="dxa" w:w="3560"/>
            <w:shd w:fill="EEF3F7"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vendor_intelligence_snapshot.json</w:t>
            </w:r>
          </w:p>
        </w:tc>
        <w:tc>
          <w:tcPr>
            <w:tcW w:type="dxa" w:w="356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verification_manifest.json</w:t>
            </w:r>
          </w:p>
        </w:tc>
        <w:tc>
          <w:tcPr>
            <w:tcW w:type="dxa" w:w="3560"/>
            <w:shd w:fill="EEF3F7"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vulnerability_intelligence_snapshot.json</w:t>
            </w:r>
          </w:p>
        </w:tc>
        <w:tc>
          <w:tcPr>
            <w:tcW w:type="dxa" w:w="356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7212B"/>
        <w:sz w:val="22"/>
        <w:szCs w:val="22"/>
      </w:rPr>
    </w:rPrDefault>
    <w:pPrDefault>
      <w:pPr>
        <w:spacing w:after="120"/>
        <w:jc w:val="left"/>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pPr>
    <w:rPr>
      <w:rFonts w:ascii="Calibri" w:cs="Calibri" w:eastAsia="Calibri" w:hAnsi="Calibri"/>
      <w:b/>
      <w:bCs/>
      <w:color w:val="2E74B5"/>
      <w:sz w:val="32"/>
      <w:szCs w:val="32"/>
    </w:rPr>
  </w:style>
  <w:style w:type="paragraph" w:styleId="Heading2">
    <w:name w:val="Heading 2"/>
    <w:basedOn w:val="Normal"/>
    <w:next w:val="Normal"/>
    <w:qFormat/>
    <w:pPr>
      <w:spacing w:after="120" w:before="240"/>
    </w:pPr>
    <w:rPr>
      <w:rFonts w:ascii="Calibri" w:cs="Calibri" w:eastAsia="Calibri" w:hAnsi="Calibri"/>
      <w:b/>
      <w:bCs/>
      <w:color w:val="2E74B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Board Vulnerability Remediation Summary</dc:title>
  <dc:creator>DIIaC PatchForge</dc:creator>
  <dc:description>Board Vulnerability Remediation Summary for CVE-2026-PF-AZ8-001</dc:description>
  <cp:lastModifiedBy>Un-named</cp:lastModifiedBy>
  <cp:revision>1</cp:revision>
  <dcterms:created xsi:type="dcterms:W3CDTF">2026-05-27T02:29:56.518Z</dcterms:created>
  <dcterms:modified xsi:type="dcterms:W3CDTF">2026-05-27T02:29:56.518Z</dcterms:modified>
</cp:coreProperties>
</file>

<file path=docProps/custom.xml><?xml version="1.0" encoding="utf-8"?>
<Properties xmlns="http://schemas.openxmlformats.org/officeDocument/2006/custom-properties" xmlns:vt="http://schemas.openxmlformats.org/officeDocument/2006/docPropsVTypes"/>
</file>