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CAB Patch Decision Report</w:t>
      </w:r>
      <w:r>
        <w:rPr>
          <w:color w:val="5E6B76"/>
          <w:sz w:val="20"/>
          <w:szCs w:val="20"/>
        </w:rPr>
        <w:br/>
        <w:t xml:space="preserve">Change Advisory Board | CVE-2026-PF-AZ8-001 | Pack PF-20260527-AZ8QA</w:t>
      </w:r>
      <w:r>
        <w:rPr>
          <w:color w:val="17212B"/>
          <w:sz w:val="20"/>
          <w:szCs w:val="20"/>
        </w:rPr>
        <w:br/>
        <w:t xml:space="preserve">Generated 27/05/2026, 02:29:57. Decision posture: Emergency Change Required. Readiness: Blocked.</w:t>
      </w:r>
    </w:p>
    <w:p>
      <w:pPr>
        <w:pStyle w:val="Heading1"/>
        <w:keepNext/>
      </w:pPr>
      <w:r>
        <w:t xml:space="preserve">Executive Decision Summary</w:t>
      </w:r>
    </w:p>
    <w:p>
      <w:pPr>
        <w:spacing w:after="120"/>
      </w:pPr>
      <w:r>
        <w:t xml:space="preserve">CVE-2026-PF-AZ8-001 should be handled as Emergency Change Required because PatchForge sees known exploitation, internet exposure, customer-facing service impact, and incomplete evidence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Emergency Change Required</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Open CAB/security-lead emergency review and confirm rollback evidence before approval.</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High</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Analysis is autonomous; approval, risk acceptance, and closure are human-controlled</w:t>
            </w:r>
          </w:p>
        </w:tc>
      </w:tr>
    </w:tbl>
    <w:p>
      <w:pPr>
        <w:pStyle w:val="Heading1"/>
        <w:keepNext/>
      </w:pPr>
      <w:r>
        <w:t xml:space="preserve">What This Vulnerability Means</w:t>
      </w:r>
    </w:p>
    <w:p>
      <w:pPr>
        <w:spacing w:after="120"/>
      </w:pPr>
      <w:r>
        <w:t xml:space="preserve">An externally reachable gateway component is affected by an authentication bypass condition. The issue could allow unauthorised access paths if the affected service is exposed and compensating controls are incomplete. PatchForge treats this as a governance decision until source evidence, affected scope, rollback planning, and human approval are complete.</w:t>
      </w:r>
    </w:p>
    <w:p>
      <w:pPr>
        <w:pStyle w:val="Heading2"/>
        <w:keepNext/>
      </w:pPr>
      <w:r>
        <w:t xml:space="preserve">Why It Matters Now</w:t>
      </w:r>
    </w:p>
    <w:p>
      <w:pPr>
        <w:spacing w:after="120"/>
      </w:pPr>
      <w:r>
        <w:t xml:space="preserve">It is flagged as known exploited, it is marked internet exposed, and a patch is available. The decision delay risk is therefore higher than a normal scheduled vulnerability review.</w:t>
      </w:r>
    </w:p>
    <w:p>
      <w:pPr>
        <w:pStyle w:val="Heading1"/>
        <w:keepNext/>
      </w:pPr>
      <w:r>
        <w:t xml:space="preserve">Affected Products, Services, and Assets</w:t>
      </w:r>
    </w:p>
    <w:p>
      <w:pPr>
        <w:spacing w:after="120"/>
      </w:pPr>
      <w:r>
        <w:t xml:space="preserve">Mapped service impact: Orion Gateway, a customer-facing edge service. Mapped asset scope: asset-orion-edge-01.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Service</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Orion Gateway</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Customer-facing | Owner: Service Owner</w:t>
            </w:r>
          </w:p>
        </w:tc>
      </w:tr>
      <w:tr>
        <w:trPr>
          <w:tblHeader w:val="false"/>
        </w:trPr>
        <w:tc>
          <w:tcPr>
            <w:tcW w:type="dxa" w:w="15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Asset</w:t>
            </w:r>
          </w:p>
        </w:tc>
        <w:tc>
          <w:tcPr>
            <w:tcW w:type="dxa" w:w="30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Orion Edge 01</w:t>
            </w:r>
          </w:p>
        </w:tc>
        <w:tc>
          <w:tcPr>
            <w:tcW w:type="dxa" w:w="48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Edge Gateway | Critical | Internet</w:t>
            </w:r>
          </w:p>
        </w:tc>
      </w:tr>
    </w:tbl>
    <w:p>
      <w:pPr>
        <w:pStyle w:val="Heading1"/>
        <w:keepNext/>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indicates elevated probability. PatchForge records this for prioritisation only and does not provide exploit code or procedural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Known exploited signal</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Yes, source-bound pending review unless accepted</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EPSS score</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82%</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EPSS percentile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97%</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Ransomware campaign use</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Unknown</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Can close gates alone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t>
            </w:r>
          </w:p>
        </w:tc>
      </w:tr>
    </w:tbl>
    <w:p>
      <w:pPr>
        <w:pStyle w:val="Heading1"/>
        <w:keepNext/>
      </w:pPr>
      <w:r>
        <w:t xml:space="preserve">Recommended Governance Posture</w:t>
      </w:r>
    </w:p>
    <w:p>
      <w:pPr>
        <w:spacing w:after="120"/>
      </w:pPr>
      <w:r>
        <w:t xml:space="preserve">Emergency Change Required is the current advisory posture. Known exploitation, patch availability, and exposed customer-facing service context indicate emergency change governance.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Open emergency CAB/security-lead review.</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rollback evidence and post-change validation plan.</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service-owner impact review.</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Generate and verify the signed decision pack.</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2026-06-03</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keepNext/>
      </w:pPr>
      <w:r>
        <w:t xml:space="preserve">Decision Options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22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Option</w:t>
            </w:r>
          </w:p>
        </w:tc>
        <w:tc>
          <w:tcPr>
            <w:tcW w:type="dxa" w:w="34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When it fits</w:t>
            </w:r>
          </w:p>
        </w:tc>
        <w:tc>
          <w:tcPr>
            <w:tcW w:type="dxa" w:w="37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Decision impact</w:t>
            </w:r>
          </w:p>
        </w:tc>
      </w:tr>
      <w:tr>
        <w:trPr>
          <w:tblHeader w:val="false"/>
        </w:trPr>
        <w:tc>
          <w:tcPr>
            <w:tcW w:type="dxa" w:w="22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Recommended: Emergency Change Required</w:t>
            </w:r>
          </w:p>
        </w:tc>
        <w:tc>
          <w:tcPr>
            <w:tcW w:type="dxa" w:w="34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Use when known exploitation and customer-facing exposure make normal change cadence too slow.</w:t>
            </w:r>
          </w:p>
        </w:tc>
        <w:tc>
          <w:tcPr>
            <w:tcW w:type="dxa" w:w="37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Benefit: Fast accountable response with rollback gates preserved. Required evidence: Rollback plan, Test evidence, Human approval. Approval: required.</w:t>
            </w:r>
          </w:p>
        </w:tc>
      </w:tr>
    </w:tbl>
    <w:p>
      <w:pPr>
        <w:pStyle w:val="Heading1"/>
        <w:keepNext/>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26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Evidence / gate</w:t>
            </w:r>
          </w:p>
        </w:tc>
        <w:tc>
          <w:tcPr>
            <w:tcW w:type="dxa" w:w="19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State</w:t>
            </w:r>
          </w:p>
        </w:tc>
        <w:tc>
          <w:tcPr>
            <w:tcW w:type="dxa" w:w="48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Decision implication</w:t>
            </w:r>
          </w:p>
        </w:tc>
      </w:tr>
      <w:tr>
        <w:trPr>
          <w:tblHeader w:val="false"/>
        </w:trPr>
        <w:tc>
          <w:tcPr>
            <w:tcW w:type="dxa" w:w="26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Rollback Plan</w:t>
            </w:r>
          </w:p>
        </w:tc>
        <w:tc>
          <w:tcPr>
            <w:tcW w:type="dxa" w:w="19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Open</w:t>
            </w:r>
          </w:p>
        </w:tc>
        <w:tc>
          <w:tcPr>
            <w:tcW w:type="dxa" w:w="48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reviewed rollback evidence before close or emergency approval.</w:t>
            </w:r>
          </w:p>
        </w:tc>
      </w:tr>
      <w:tr>
        <w:trPr>
          <w:tblHeader w:val="false"/>
        </w:trPr>
        <w:tc>
          <w:tcPr>
            <w:tcW w:type="dxa" w:w="26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Test Evidence</w:t>
            </w:r>
          </w:p>
        </w:tc>
        <w:tc>
          <w:tcPr>
            <w:tcW w:type="dxa" w:w="19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Open</w:t>
            </w:r>
          </w:p>
        </w:tc>
        <w:tc>
          <w:tcPr>
            <w:tcW w:type="dxa" w:w="48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reviewed test evidence or record explicit deferral rationale.</w:t>
            </w:r>
          </w:p>
        </w:tc>
      </w:tr>
      <w:tr>
        <w:trPr>
          <w:tblHeader w:val="false"/>
        </w:trPr>
        <w:tc>
          <w:tcPr>
            <w:tcW w:type="dxa" w:w="26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 Approval</w:t>
            </w:r>
          </w:p>
        </w:tc>
        <w:tc>
          <w:tcPr>
            <w:tcW w:type="dxa" w:w="19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Open</w:t>
            </w:r>
          </w:p>
        </w:tc>
        <w:tc>
          <w:tcPr>
            <w:tcW w:type="dxa" w:w="48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 accountable approval event after evidence review.</w:t>
            </w:r>
          </w:p>
        </w:tc>
      </w:tr>
      <w:tr>
        <w:trPr>
          <w:tblHeader w:val="false"/>
        </w:trPr>
        <w:tc>
          <w:tcPr>
            <w:tcW w:type="dxa" w:w="26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Pending source review</w:t>
            </w:r>
          </w:p>
        </w:tc>
        <w:tc>
          <w:tcPr>
            <w:tcW w:type="dxa" w:w="19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1</w:t>
            </w:r>
          </w:p>
        </w:tc>
        <w:tc>
          <w:tcPr>
            <w:tcW w:type="dxa" w:w="48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Pending sources cannot be treated as accepted truth.</w:t>
            </w:r>
          </w:p>
        </w:tc>
      </w:tr>
      <w:tr>
        <w:trPr>
          <w:tblHeader w:val="false"/>
        </w:trPr>
        <w:tc>
          <w:tcPr>
            <w:tcW w:type="dxa" w:w="26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Accepted positive evidence</w:t>
            </w:r>
          </w:p>
        </w:tc>
        <w:tc>
          <w:tcPr>
            <w:tcW w:type="dxa" w:w="19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0</w:t>
            </w:r>
          </w:p>
        </w:tc>
        <w:tc>
          <w:tcPr>
            <w:tcW w:type="dxa" w:w="48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Only accepted positive evidence can support hard gates.</w:t>
            </w:r>
          </w:p>
        </w:tc>
      </w:tr>
      <w:tr>
        <w:trPr>
          <w:tblHeader w:val="false"/>
        </w:trPr>
        <w:tc>
          <w:tcPr>
            <w:tcW w:type="dxa" w:w="26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Rejected sources</w:t>
            </w:r>
          </w:p>
        </w:tc>
        <w:tc>
          <w:tcPr>
            <w:tcW w:type="dxa" w:w="19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0</w:t>
            </w:r>
          </w:p>
        </w:tc>
        <w:tc>
          <w:tcPr>
            <w:tcW w:type="dxa" w:w="48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Rejected sources cannot support the decision.</w:t>
            </w:r>
          </w:p>
        </w:tc>
      </w:tr>
    </w:tbl>
    <w:p>
      <w:pPr>
        <w:pStyle w:val="Heading1"/>
        <w:keepNext/>
      </w:pPr>
      <w:r>
        <w:t xml:space="preserve">Decision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Vulnerability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CVE-2026-PF-AZ8-001</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Title</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Orion Gateway Authentication Bypass Vulnerability</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Severity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Critical</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Decision posture</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Emergency Change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Readiness</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Blocked (45)</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Final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Not issued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Source pack</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Immutable and preserved</w:t>
            </w:r>
          </w:p>
        </w:tc>
      </w:tr>
    </w:tbl>
    <w:p>
      <w:pPr>
        <w:pStyle w:val="Heading1"/>
        <w:keepNext/>
      </w:pPr>
      <w:r>
        <w:t xml:space="preserve">Evidence, Trust, and Signing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Signed pack</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PF-20260527-AZ8QA</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Verification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Verified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Signing provider</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Azure Key Vault</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Signature algorithm</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Ed25519</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Governance manifest SHA-256</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qa-hash</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Evidence references</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1</w:t>
            </w:r>
          </w:p>
        </w:tc>
      </w:tr>
    </w:tbl>
    <w:p>
      <w:pPr>
        <w:pStyle w:val="Heading1"/>
        <w:keepNext/>
      </w:pPr>
      <w:r>
        <w:t xml:space="preserve">Source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gridCol w:w="100"/>
      </w:tblGrid>
      <w:tr>
        <w:trPr>
          <w:tblHeader/>
        </w:trPr>
        <w:tc>
          <w:tcPr>
            <w:tcW w:type="dxa" w:w="318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Source ref</w:t>
            </w:r>
          </w:p>
        </w:tc>
        <w:tc>
          <w:tcPr>
            <w:tcW w:type="dxa" w:w="224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Class</w:t>
            </w:r>
          </w:p>
        </w:tc>
        <w:tc>
          <w:tcPr>
            <w:tcW w:type="dxa" w:w="188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Review</w:t>
            </w:r>
          </w:p>
        </w:tc>
        <w:tc>
          <w:tcPr>
            <w:tcW w:type="dxa" w:w="2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Evidence</w:t>
            </w:r>
          </w:p>
        </w:tc>
      </w:tr>
      <w:tr>
        <w:trPr>
          <w:tblHeader w:val="false"/>
        </w:trPr>
        <w:tc>
          <w:tcPr>
            <w:tcW w:type="dxa" w:w="318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src-cisa-kev-az8</w:t>
            </w:r>
          </w:p>
        </w:tc>
        <w:tc>
          <w:tcPr>
            <w:tcW w:type="dxa" w:w="224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Kev Record</w:t>
            </w:r>
          </w:p>
        </w:tc>
        <w:tc>
          <w:tcPr>
            <w:tcW w:type="dxa" w:w="188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Pending Review</w:t>
            </w:r>
          </w:p>
        </w:tc>
        <w:tc>
          <w:tcPr>
            <w:tcW w:type="dxa" w:w="2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Referenced</w:t>
            </w:r>
          </w:p>
        </w:tc>
      </w:tr>
    </w:tbl>
    <w:p>
      <w:pPr>
        <w:pStyle w:val="Heading1"/>
        <w:keepNext/>
      </w:pPr>
      <w:r>
        <w:t xml:space="preserve">Bayesian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Availability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Generated</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Advisory boundary</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Advisory only; cannot close gates or approve risk</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Emergency Change Required</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Exploit probability posterior</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82%</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Business impact posterior</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73%</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Patch feasibility posterior</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64%</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Change risk posterior</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42%</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Deferral risk posterior</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78%</w:t>
            </w:r>
          </w:p>
        </w:tc>
      </w:tr>
    </w:tbl>
    <w:p>
      <w:pPr>
        <w:pStyle w:val="Heading1"/>
        <w:keepNext/>
      </w:pPr>
      <w:r>
        <w:t xml:space="preserve">Vendor and Threat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Vendor intelligence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Source-bound</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Threat landscape</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Source-bound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Active exploitation signals</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1</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Critical open advisories</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1</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Patch maturity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Available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Source review</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Pending review unless explicitly accepted</w:t>
            </w:r>
          </w:p>
        </w:tc>
      </w:tr>
    </w:tbl>
    <w:p>
      <w:pPr>
        <w:pStyle w:val="Heading1"/>
        <w:keepNext/>
      </w:pPr>
      <w:r>
        <w:t xml:space="preserve">Blockers and Required Human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318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Blocker / Action</w:t>
            </w:r>
          </w:p>
        </w:tc>
        <w:tc>
          <w:tcPr>
            <w:tcW w:type="dxa" w:w="262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Required outcome</w:t>
            </w:r>
          </w:p>
        </w:tc>
      </w:tr>
      <w:tr>
        <w:trPr>
          <w:tblHeader w:val="false"/>
        </w:trPr>
        <w:tc>
          <w:tcPr>
            <w:tcW w:type="dxa" w:w="318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Rollback Plan</w:t>
            </w:r>
          </w:p>
        </w:tc>
        <w:tc>
          <w:tcPr>
            <w:tcW w:type="dxa" w:w="262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service/security owner</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reviewed rollback evidence before close or emergency approval.</w:t>
            </w:r>
          </w:p>
        </w:tc>
      </w:tr>
      <w:tr>
        <w:trPr>
          <w:tblHeader w:val="false"/>
        </w:trPr>
        <w:tc>
          <w:tcPr>
            <w:tcW w:type="dxa" w:w="318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Test Evidence</w:t>
            </w:r>
          </w:p>
        </w:tc>
        <w:tc>
          <w:tcPr>
            <w:tcW w:type="dxa" w:w="262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service/security owner</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reviewed test evidence or record explicit deferral rationale.</w:t>
            </w:r>
          </w:p>
        </w:tc>
      </w:tr>
      <w:tr>
        <w:trPr>
          <w:tblHeader w:val="false"/>
        </w:trPr>
        <w:tc>
          <w:tcPr>
            <w:tcW w:type="dxa" w:w="318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 Review Signoff</w:t>
            </w:r>
          </w:p>
        </w:tc>
        <w:tc>
          <w:tcPr>
            <w:tcW w:type="dxa" w:w="262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service/security owner</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 accountable approval event after evidence review.</w:t>
            </w:r>
          </w:p>
        </w:tc>
      </w:tr>
      <w:tr>
        <w:trPr>
          <w:tblHeader w:val="false"/>
        </w:trPr>
        <w:tc>
          <w:tcPr>
            <w:tcW w:type="dxa" w:w="318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 approval</w:t>
            </w:r>
          </w:p>
        </w:tc>
        <w:tc>
          <w:tcPr>
            <w:tcW w:type="dxa" w:w="262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CAB / security lead</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Explicit approval remains required</w:t>
            </w:r>
          </w:p>
        </w:tc>
      </w:tr>
    </w:tbl>
    <w:p>
      <w:pPr>
        <w:pStyle w:val="Heading1"/>
        <w:keepNext/>
      </w:pPr>
      <w:r>
        <w:t xml:space="preserve">Autonomous Analysis Completed</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Correlated KEV and exploitability context</w:t>
      </w:r>
    </w:p>
    <w:p>
      <w:pPr>
        <w:pStyle w:val="ListParagraph"/>
        <w:numPr>
          <w:ilvl w:val="0"/>
          <w:numId w:val="1"/>
        </w:numPr>
        <w:spacing w:after="80"/>
      </w:pPr>
      <w:r>
        <w:rPr>
          <w:color w:val="17212B"/>
          <w:sz w:val="20"/>
          <w:szCs w:val="20"/>
        </w:rPr>
        <w:t xml:space="preserve">Generated governance recommendation</w:t>
      </w:r>
    </w:p>
    <w:p>
      <w:pPr>
        <w:pStyle w:val="Heading1"/>
        <w:keepNext/>
      </w:pPr>
      <w:r>
        <w:t xml:space="preserve">Human Decisions Still Required</w:t>
      </w:r>
    </w:p>
    <w:p>
      <w:pPr>
        <w:pStyle w:val="ListParagraph"/>
        <w:numPr>
          <w:ilvl w:val="0"/>
          <w:numId w:val="1"/>
        </w:numPr>
        <w:spacing w:after="80"/>
      </w:pPr>
      <w:r>
        <w:rPr>
          <w:color w:val="17212B"/>
          <w:sz w:val="20"/>
          <w:szCs w:val="20"/>
        </w:rPr>
        <w:t xml:space="preserve">Review source evidence</w:t>
      </w:r>
    </w:p>
    <w:p>
      <w:pPr>
        <w:pStyle w:val="ListParagraph"/>
        <w:numPr>
          <w:ilvl w:val="0"/>
          <w:numId w:val="1"/>
        </w:numPr>
        <w:spacing w:after="80"/>
      </w:pPr>
      <w:r>
        <w:rPr>
          <w:color w:val="17212B"/>
          <w:sz w:val="20"/>
          <w:szCs w:val="20"/>
        </w:rPr>
        <w:t xml:space="preserve">Approve or withhold emergency change</w:t>
      </w:r>
    </w:p>
    <w:p>
      <w:pPr>
        <w:pStyle w:val="ListParagraph"/>
        <w:numPr>
          <w:ilvl w:val="0"/>
          <w:numId w:val="1"/>
        </w:numPr>
        <w:spacing w:after="80"/>
      </w:pPr>
      <w:r>
        <w:rPr>
          <w:color w:val="17212B"/>
          <w:sz w:val="20"/>
          <w:szCs w:val="20"/>
        </w:rPr>
        <w:t xml:space="preserve">Attach rollback and post-change validation evidence</w:t>
      </w:r>
    </w:p>
    <w:p>
      <w:pPr>
        <w:pStyle w:val="Heading1"/>
        <w:keepNext/>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keepNext/>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keepNext/>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signed_export.sigmeta.json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sra_trace.json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threat_landscape_snapshot.json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vendor_intelligence_snapshot.json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verification_manifest.json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vulnerability_intelligence_snapshot.json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 Patch Decision Report</dc:title>
  <dc:creator>DIIaC PatchForge</dc:creator>
  <dc:description>CAB Patch Decision Report for CVE-2026-PF-AZ8-001</dc:description>
  <cp:lastModifiedBy>Un-named</cp:lastModifiedBy>
  <cp:revision>1</cp:revision>
  <dcterms:created xsi:type="dcterms:W3CDTF">2026-05-27T02:29:57.068Z</dcterms:created>
  <dcterms:modified xsi:type="dcterms:W3CDTF">2026-05-27T02:29:57.068Z</dcterms:modified>
</cp:coreProperties>
</file>

<file path=docProps/custom.xml><?xml version="1.0" encoding="utf-8"?>
<Properties xmlns="http://schemas.openxmlformats.org/officeDocument/2006/custom-properties" xmlns:vt="http://schemas.openxmlformats.org/officeDocument/2006/docPropsVTypes"/>
</file>