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生成日期：2026-08-29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发文日期：2026-07-15</w:t>
        <w:br/>
        <w:t>原文链接：https://www.cac.gov.cn/wxzw/wxfb/A093702index_1.htm</w:t>
      </w:r>
    </w:p>
    <w:p>
      <w:pPr>
        <w:ind w:left="240"/>
      </w:pPr>
      <w:r>
        <w:t>公布2026年5-6月生成式AI服务备案信息，规范市场准入。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发文日期：2026-07-06</w:t>
        <w:br/>
        <w:t>原文链接：https://www.cac.gov.cn/wxzw/wxfb/A093702index_1.htm</w:t>
      </w:r>
    </w:p>
    <w:p>
      <w:pPr>
        <w:ind w:left="240"/>
      </w:pPr>
      <w:r>
        <w:t>发布网络安全标识产品目录及实施规则，强化产品合规。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《生成式人工智能服务管理暂行办法》</w:t>
      </w:r>
    </w:p>
    <w:p>
      <w:r>
        <w:rPr>
          <w:color w:val="646464"/>
          <w:sz w:val="20"/>
        </w:rPr>
        <w:t>文　　号：暂无</w:t>
        <w:br/>
        <w:t>发文机关：国家互联网信息办公室等七部门</w:t>
        <w:br/>
        <w:t>发文日期：2026-01-10</w:t>
      </w:r>
    </w:p>
    <w:p>
      <w:pPr>
        <w:ind w:left="240"/>
      </w:pPr>
      <w:r>
        <w:t>规范生成式AI服务提供者责任，实行算法备案与安全评估。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《关于促进数据要素市场化配置的指导意见》</w:t>
      </w:r>
    </w:p>
    <w:p>
      <w:r>
        <w:rPr>
          <w:color w:val="646464"/>
          <w:sz w:val="20"/>
        </w:rPr>
        <w:t>文　　号：暂无</w:t>
        <w:br/>
        <w:t>发文机关：国务院</w:t>
        <w:br/>
        <w:t>发文日期：2026-03-15</w:t>
      </w:r>
    </w:p>
    <w:p>
      <w:pPr>
        <w:ind w:left="240"/>
      </w:pPr>
      <w:r>
        <w:t>推动数据产权、流通交易、收益分配等基础制度建设。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《数字中国建设整体布局规划（2026年修订版）》</w:t>
      </w:r>
    </w:p>
    <w:p>
      <w:r>
        <w:rPr>
          <w:color w:val="646464"/>
          <w:sz w:val="20"/>
        </w:rPr>
        <w:t>文　　号：暂无</w:t>
        <w:br/>
        <w:t>发文机关：中共中央、国务院</w:t>
        <w:br/>
        <w:t>发文日期：2026-02-20</w:t>
      </w:r>
    </w:p>
    <w:p>
      <w:pPr>
        <w:ind w:left="240"/>
      </w:pPr>
      <w:r>
        <w:t>明确数字中国建设目标，强化数字基础设施与数据资源体系。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《上海市促进人工智能产业发展条例（2026年修订）》</w:t>
      </w:r>
    </w:p>
    <w:p>
      <w:r>
        <w:rPr>
          <w:color w:val="646464"/>
          <w:sz w:val="20"/>
        </w:rPr>
        <w:t>文　　号：暂无</w:t>
        <w:br/>
        <w:t>发文机关：上海市人大常委会</w:t>
        <w:br/>
        <w:t>发文日期：2026-04-01</w:t>
      </w:r>
    </w:p>
    <w:p>
      <w:pPr>
        <w:ind w:left="240"/>
      </w:pPr>
      <w:r>
        <w:t>支持AI技术创新，明确算力基础设施与数据开放要求。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《广东省数据要素市场化配置改革行动方案（2026年）》</w:t>
      </w:r>
    </w:p>
    <w:p>
      <w:r>
        <w:rPr>
          <w:color w:val="646464"/>
          <w:sz w:val="20"/>
        </w:rPr>
        <w:t>文　　号：暂无</w:t>
        <w:br/>
        <w:t>发文机关：广东省人民政府</w:t>
        <w:br/>
        <w:t>发文日期：2026-05-10</w:t>
      </w:r>
    </w:p>
    <w:p>
      <w:pPr>
        <w:ind w:left="240"/>
      </w:pPr>
      <w:r>
        <w:t>探索数据要素确权定价交易机制，建设数据交易场所。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《江苏省制造业智能化改造和数字化转型三年行动计划（2026-2028年）》</w:t>
      </w:r>
    </w:p>
    <w:p>
      <w:r>
        <w:rPr>
          <w:color w:val="646464"/>
          <w:sz w:val="20"/>
        </w:rPr>
        <w:t>文　　号：暂无</w:t>
        <w:br/>
        <w:t>发文机关：江苏省人民政府</w:t>
        <w:br/>
        <w:t>发文日期：2026-06-01</w:t>
      </w:r>
    </w:p>
    <w:p>
      <w:pPr>
        <w:ind w:left="240"/>
      </w:pPr>
      <w:r>
        <w:t>推动工业互联网普及，支持企业上云用数赋智。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《日本AI战略2026》</w:t>
      </w:r>
    </w:p>
    <w:p>
      <w:r>
        <w:rPr>
          <w:color w:val="646464"/>
          <w:sz w:val="20"/>
        </w:rPr>
        <w:t>文　　号：暂无</w:t>
        <w:br/>
        <w:t>发文机关：日本内阁府</w:t>
        <w:br/>
        <w:t>发文日期：2026-04-15</w:t>
      </w:r>
    </w:p>
    <w:p>
      <w:pPr>
        <w:ind w:left="240"/>
      </w:pPr>
      <w:r>
        <w:t>提出AI研发与产业应用促进政策，强调国际规则协调。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《欧盟人工智能法案（AI Act）实施细则》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发文日期：2026-06-20</w:t>
      </w:r>
    </w:p>
    <w:p>
      <w:pPr>
        <w:ind w:left="240"/>
      </w:pPr>
      <w:r>
        <w:t>细化高风险AI系统合规要求，明确监管沙盒机制。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《美国人工智能行政令（2026年修订）》</w:t>
      </w:r>
    </w:p>
    <w:p>
      <w:r>
        <w:rPr>
          <w:color w:val="646464"/>
          <w:sz w:val="20"/>
        </w:rPr>
        <w:t>文　　号：暂无</w:t>
        <w:br/>
        <w:t>发文机关：白宫</w:t>
        <w:br/>
        <w:t>发文日期：2026-03-08</w:t>
      </w:r>
    </w:p>
    <w:p>
      <w:pPr>
        <w:ind w:left="240"/>
      </w:pPr>
      <w:r>
        <w:t>加强联邦机构AI应用监管，推动标准制定与安全评估。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网信办连续发布生成式AI备案公告与网络安全标识目录，显示监管从框架搭建转向精细化落地。备案信息定期公开形成常态化机制，标识目录则使安全要求具象化、可操作。研判：下一步将针对AI生成内容标识、深度合成等细分领域出台配套细则，企业合规成本将上升，但市场准入透明度同步提高。</w:t>
      </w:r>
    </w:p>
    <w:p>
      <w:r>
        <w:rPr>
          <w:b/>
          <w:color w:val="5B6DE4"/>
        </w:rPr>
        <w:t xml:space="preserve">②  </w:t>
      </w:r>
      <w:r>
        <w:t>趋势2（技术路线）：从备案公告可见，生成式AI服务备案数量持续增长，大模型技术路线呈现多模态、垂直化趋势。监管层通过备案制引导技术发展，而非直接干预技术路线。研判：具备安全评估能力的大型平台将获得竞争优势，中小开发者可能转向细分场景或与云服务商合作以降低合规门槛。</w:t>
      </w:r>
    </w:p>
    <w:p>
      <w:r>
        <w:rPr>
          <w:b/>
          <w:color w:val="5B6DE4"/>
        </w:rPr>
        <w:t xml:space="preserve">③  </w:t>
      </w:r>
      <w:r>
        <w:t>趋势3（区域格局）：上海、广东、江苏等地密集出台数字经济与AI产业政策，形成与中央政策呼应的区域创新网络。上海侧重AI产业立法，广东聚焦数据要素市场化，江苏强调制造业数字化转型。研判：区域间将形成差异化竞争格局，数据交易场所和算力基础设施布局将成为下一轮地方政策竞争焦点。</w:t>
      </w:r>
    </w:p>
    <w:p>
      <w:r>
        <w:rPr>
          <w:b/>
          <w:color w:val="5B6DE4"/>
        </w:rPr>
        <w:t xml:space="preserve">④  </w:t>
      </w:r>
      <w:r>
        <w:t>趋势4（产业影响）：制造业数字化转型政策持续加码，工业互联网成为传统产业升级的核心抓手。政策导向从单纯设备联网转向数据驱动的全流程优化，强调产业链协同。研判：工业数据安全与数据确权问题将凸显，预计将出台工业数据分类分级管理指南，推动跨企业数据共享机制建设。</w:t>
      </w:r>
    </w:p>
    <w:p>
      <w:r>
        <w:rPr>
          <w:b/>
          <w:color w:val="5B6DE4"/>
        </w:rPr>
        <w:t xml:space="preserve">⑤  </w:t>
      </w:r>
      <w:r>
        <w:t>趋势5（安全合规）：网络安全标识产品目录的发布，标志着等保制度向产品级延伸。监管思路从对单一系统的评估转向对供应链全链条的管控，安全要求嵌入产品研发环节。研判：安全产品市场将迎来标准化洗牌，具备检测认证能力的安全厂商将获得政策红利，同时跨境数据流动安全评估将更加严格。</w:t>
      </w:r>
    </w:p>
    <w:p>
      <w:r>
        <w:rPr>
          <w:b/>
          <w:color w:val="5B6DE4"/>
        </w:rPr>
        <w:t xml:space="preserve">⑥  </w:t>
      </w:r>
      <w:r>
        <w:t>趋势6（国际比较）：中国通过备案制与标识目录实现AI柔性监管，欧盟以AI Act风险分级实施硬性合规，美国以行政令推动联邦机构自律与标准引导，日本侧重产业促进与国际协调。中国模式强调事前备案与事中事后监管结合，欧盟注重法律约束力，美国依赖市场自律，日本突出产业竞争力。研判：各国监管路径差异将增加跨国企业合规复杂度，但AI安全治理的国际共识正在形成，中国有望在联合国框架下推动监管互认机制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