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生成日期：2026-05-26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《算力互联互通行动计划》</w:t>
      </w:r>
    </w:p>
    <w:p>
      <w:r>
        <w:rPr>
          <w:color w:val="646464"/>
          <w:sz w:val="20"/>
        </w:rPr>
        <w:t>文　　号：工信部〔2026〕</w:t>
        <w:br/>
        <w:t>发文机关：工业和信息化部</w:t>
        <w:br/>
        <w:t>发文日期：2026-05-22</w:t>
        <w:br/>
        <w:t>原文链接：https://home.wuhan.gov.cn/zcfg/202506/t20250611_2594306.shtml</w:t>
      </w:r>
    </w:p>
    <w:p>
      <w:pPr>
        <w:ind w:left="240"/>
      </w:pPr>
      <w:r>
        <w:t>提出到2026年建立完备算力互联互通标准体系，到2028年基本实现全国公共算力标准化互联，逐步形成具备智能感知、实时发现、随需获取的算力互联网。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《智能体规范应用与创新发展实施意见》</w:t>
      </w:r>
    </w:p>
    <w:p>
      <w:r>
        <w:rPr>
          <w:color w:val="646464"/>
          <w:sz w:val="20"/>
        </w:rPr>
        <w:t>文　　号：网信联发〔2026〕</w:t>
        <w:br/>
        <w:t>发文机关：国家互联网信息办公室、国家发展和改革委员会、工业和信息化部</w:t>
        <w:br/>
        <w:t>发文日期：2026-05-08</w:t>
        <w:br/>
        <w:t>原文链接：https://www.cac.gov.cn/2026-05/08/c_1779979789523320.htm</w:t>
      </w:r>
    </w:p>
    <w:p>
      <w:pPr>
        <w:ind w:left="240"/>
      </w:pPr>
      <w:r>
        <w:t>首次在国家层面针对智能体出台专项政策，明确智能体定义、技术底座、标准协议、安全治理、应用场景及产业生态全套体系，标志智能体正式进入监管周期。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《人工智能终端智能化分级 GB/Z 177-2026》</w:t>
      </w:r>
    </w:p>
    <w:p>
      <w:r>
        <w:rPr>
          <w:color w:val="646464"/>
          <w:sz w:val="20"/>
        </w:rPr>
        <w:t>文　　号：GB/Z 177-2026</w:t>
        <w:br/>
        <w:t>发文机关：工业和信息化部、商务部、国家市场监督管理总局</w:t>
        <w:br/>
        <w:t>发文日期：2026-05-08</w:t>
        <w:br/>
        <w:t>原文链接：https://www.szzg.gov.cn/2026/szzg/xyzx/202605/t20260509_5319682.htm</w:t>
      </w:r>
    </w:p>
    <w:p>
      <w:pPr>
        <w:ind w:left="240"/>
      </w:pPr>
      <w:r>
        <w:t>发布AI终端分级国家标准，将AI终端分为L1响应级、L2工具级、L3辅助级、L4协同级四个等级，为产品规范准入提供统一依据。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《促进人工智能与能源双向赋能的行动方案》</w:t>
      </w:r>
    </w:p>
    <w:p>
      <w:r>
        <w:rPr>
          <w:color w:val="646464"/>
          <w:sz w:val="20"/>
        </w:rPr>
        <w:t>文　　号：国能发科技〔2026〕</w:t>
        <w:br/>
        <w:t>发文机关：国家能源局、国家发展和改革委员会、工业和信息化部、国家数据局</w:t>
        <w:br/>
        <w:t>发文日期：2026-05-10</w:t>
        <w:br/>
        <w:t>原文链接：https://www.ndrc.gov.cn/</w:t>
      </w:r>
    </w:p>
    <w:p>
      <w:pPr>
        <w:ind w:left="240"/>
      </w:pPr>
      <w:r>
        <w:t>四部门联合部署29项重点任务，推进AI与能源双向赋能，重点推动绿色算力基础设施建设、算力与电力协同规划调度，构建可持续算力体系。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《2026年数据要素大赛通知》</w:t>
      </w:r>
    </w:p>
    <w:p>
      <w:r>
        <w:rPr>
          <w:color w:val="646464"/>
          <w:sz w:val="20"/>
        </w:rPr>
        <w:t>文　　号：数局发〔2026〕</w:t>
        <w:br/>
        <w:t>发文机关：国家数据局</w:t>
        <w:br/>
        <w:t>发文日期：2026-04-27</w:t>
        <w:br/>
        <w:t>原文链接：https://www.nda.gov.cn/sjj/zwgk/tzgg/0427/20260427215820802616908_pc.html</w:t>
      </w:r>
    </w:p>
    <w:p>
      <w:pPr>
        <w:ind w:left="240"/>
      </w:pPr>
      <w:r>
        <w:t>以数据赋能、乘数而上为主题，举办2026年数据要素大赛，推动数据要素在各行业创新应用和价值释放，促进数据资源向数据资产转化。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《关于深入实施人工智能+行动的意见》</w:t>
      </w:r>
    </w:p>
    <w:p>
      <w:r>
        <w:rPr>
          <w:color w:val="646464"/>
          <w:sz w:val="20"/>
        </w:rPr>
        <w:t>文　　号：国发〔2025〕23号</w:t>
        <w:br/>
        <w:t>发文机关：国务院</w:t>
        <w:br/>
        <w:t>发文日期：2025-08-26</w:t>
        <w:br/>
        <w:t>原文链接：https://www.cac.gov.cn/2025-08/27/c_1758018277755538.htm</w:t>
      </w:r>
    </w:p>
    <w:p>
      <w:pPr>
        <w:ind w:left="240"/>
      </w:pPr>
      <w:r>
        <w:t>部署AI+六大行动：科学技术、产业发展、消费提质、民生福祉、治理能力、全球合作，提出到2030年新一代智能终端和智能体应用普及率超90%，智能经济成为重要增长极。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《网络安全法（2026年修正版）》</w:t>
      </w:r>
    </w:p>
    <w:p>
      <w:r>
        <w:rPr>
          <w:color w:val="646464"/>
          <w:sz w:val="20"/>
        </w:rPr>
        <w:t>文　　号：中华人民共和国主席令（2025年）</w:t>
        <w:br/>
        <w:t>发文机关：全国人民代表大会常务委员会</w:t>
        <w:br/>
        <w:t>发文日期：2026-01-01</w:t>
        <w:br/>
        <w:t>原文链接：https://www.cac.gov.cn/2026-01/02/c_1769093523928606.htm</w:t>
      </w:r>
    </w:p>
    <w:p>
      <w:pPr>
        <w:ind w:left="240"/>
      </w:pPr>
      <w:r>
        <w:t>修正案2026年1月1日施行，新增第二十条对AI安全作专门规定；明确34类网络安全产品须通过认证或检测，违规最高处5倍罚款，合规要求显著提升。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《国民经济和社会发展第十五个五年规划纲要数字中国专篇》</w:t>
      </w:r>
    </w:p>
    <w:p>
      <w:r>
        <w:rPr>
          <w:color w:val="646464"/>
          <w:sz w:val="20"/>
        </w:rPr>
        <w:t>文　　号：国发〔2026〕</w:t>
        <w:br/>
        <w:t>发文机关：国务院</w:t>
        <w:br/>
        <w:t>发文日期：2026-03-15</w:t>
        <w:br/>
        <w:t>原文链接：https://www.cac.gov.cn/2026-03/17/c_1775482046495737.htm</w:t>
      </w:r>
    </w:p>
    <w:p>
      <w:pPr>
        <w:ind w:left="240"/>
      </w:pPr>
      <w:r>
        <w:t>十五五数字中国专篇确立数智化发展主线，重点部署新型数字基础设施、数据要素市场、数字政府升级、数字经济核心产业培育等方向，为五年内数字化建设划定清晰路线。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《2026年国家数据工作重点任务部署》</w:t>
      </w:r>
    </w:p>
    <w:p>
      <w:r>
        <w:rPr>
          <w:color w:val="646464"/>
          <w:sz w:val="20"/>
        </w:rPr>
        <w:t>文　　号：国数〔2026〕</w:t>
        <w:br/>
        <w:t>发文机关：国家数据局</w:t>
        <w:br/>
        <w:t>发文日期：2026-01-20</w:t>
        <w:br/>
        <w:t>原文链接：https://www.smartcity.team/news/2026</w:t>
      </w:r>
    </w:p>
    <w:p>
      <w:pPr>
        <w:ind w:left="240"/>
      </w:pPr>
      <w:r>
        <w:t>将2026年定位为数据要素价值释放年，围绕一体化数据市场培育、数据科技创新、应用场景深化、数据基础设施建设、健全数据基础制度、数据赋能AI发展、国际合作8项任务重点推进。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《网络数据安全管理条例》</w:t>
      </w:r>
    </w:p>
    <w:p>
      <w:r>
        <w:rPr>
          <w:color w:val="646464"/>
          <w:sz w:val="20"/>
        </w:rPr>
        <w:t>文　　号：国务院令〔2024〕777号</w:t>
        <w:br/>
        <w:t>发文机关：国务院</w:t>
        <w:br/>
        <w:t>发文日期：2025-01-01</w:t>
        <w:br/>
        <w:t>原文链接：https://www.secrss.com/articles/86785</w:t>
      </w:r>
    </w:p>
    <w:p>
      <w:pPr>
        <w:ind w:left="240"/>
      </w:pPr>
      <w:r>
        <w:t>2025年1月施行，从行政法规层面整合网络安全法、数据安全法、个人信息保护法核心义务，形成可实施、可检查的数据安全制度闭环，2026年持续深化执法。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《全国算力网络建设2026年进展通报》</w:t>
      </w:r>
    </w:p>
    <w:p>
      <w:r>
        <w:rPr>
          <w:color w:val="646464"/>
          <w:sz w:val="20"/>
        </w:rPr>
        <w:t>文　　号：国数联〔2026〕</w:t>
        <w:br/>
        <w:t>发文机关：国家数据局、国家发展和改革委员会</w:t>
        <w:br/>
        <w:t>发文日期：2026-04-15</w:t>
        <w:br/>
        <w:t>原文链接：https://openaxo.com/trends/china-national-computing-network-2026</w:t>
      </w:r>
    </w:p>
    <w:p>
      <w:pPr>
        <w:ind w:left="240"/>
      </w:pPr>
      <w:r>
        <w:t>截至2026年3月底，全国智能算力总规模达188万PFLOPS（FP16），八大国家枢纽节点占比超80%，国家级监测调度平台已接入137万PFLOPS，算力集约化取得重要进展。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智能体治理进入制度化阶段。工信部、网信办、发改委三部门联合出台智能体规范应用与创新发展实施意见，是我国首个智能体国家级专项政策，Agent时代的监管框架正式建立，产业合规要求趋严。</w:t>
      </w:r>
    </w:p>
    <w:p>
      <w:r>
        <w:rPr>
          <w:b/>
          <w:color w:val="5B6DE4"/>
        </w:rPr>
        <w:t xml:space="preserve">②  </w:t>
      </w:r>
      <w:r>
        <w:t>算力互联互通标准提速。算力互联互通行动计划提出2028年基本实现全国算力标准化互联，当前全国智能算力总规模已达188万PFLOPS，国家级调度平台接入率达72%，算力资源统一配置能力持续增强。</w:t>
      </w:r>
    </w:p>
    <w:p>
      <w:r>
        <w:rPr>
          <w:b/>
          <w:color w:val="5B6DE4"/>
        </w:rPr>
        <w:t xml:space="preserve">③  </w:t>
      </w:r>
      <w:r>
        <w:t>数据要素进入价值释放关键期。2026年被定位为数据要素价值释放年，国家数据局持续推进一体化数据市场培育，数据要素大赛等推广机制加速落地，数据资源向资产转化路径趋于清晰。</w:t>
      </w:r>
    </w:p>
    <w:p>
      <w:r>
        <w:rPr>
          <w:b/>
          <w:color w:val="5B6DE4"/>
        </w:rPr>
        <w:t xml:space="preserve">④  </w:t>
      </w:r>
      <w:r>
        <w:t>AI与能源双向融合成政策焦点。四部门联合出台AI与能源双向赋能方案，算力与电力的协同规划、绿色算力基础设施建设正成为新的政策着力点，算力绿色化转型进入实质推进阶段。</w:t>
      </w:r>
    </w:p>
    <w:p>
      <w:r>
        <w:rPr>
          <w:b/>
          <w:color w:val="5B6DE4"/>
        </w:rPr>
        <w:t xml:space="preserve">⑤  </w:t>
      </w:r>
      <w:r>
        <w:t>网络安全合规门槛全面提高。网络安全法修正案施行，34类网络安全产品认证要求落地，最高5倍罚款为历次最严；叠加网络数据安全管理条例深化执法，企业合规成本持续上升。</w:t>
      </w:r>
    </w:p>
    <w:p>
      <w:r>
        <w:rPr>
          <w:b/>
          <w:color w:val="5B6DE4"/>
        </w:rPr>
        <w:t xml:space="preserve">⑥  </w:t>
      </w:r>
      <w:r>
        <w:t>数字中国十五五规划路线明确。十五五数字中国专篇确立数智化发展主线，新型数字基础设施、数据要素市场、数字政府为三大支柱方向，五年内政策资源和财政投入将持续向上述领域集中。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