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生成日期：2026-08-20　　数据 · 算力 · 信息化</w:t>
      </w:r>
    </w:p>
    <w:p/>
    <w:p>
      <w:pPr>
        <w:pStyle w:val="Heading1"/>
      </w:pPr>
      <w:r>
        <w:rPr>
          <w:color w:val="5B6DE4"/>
          <w:sz w:val="28"/>
        </w:rPr>
        <w:t>一、过去 24 小时关键政策</w:t>
      </w:r>
    </w:p>
    <w:p>
      <w:r>
        <w:rPr>
          <w:b/>
          <w:sz w:val="24"/>
        </w:rPr>
        <w:t>《网络数据安全风险评估办法正式施行》</w:t>
      </w:r>
    </w:p>
    <w:p>
      <w:r>
        <w:rPr>
          <w:color w:val="646464"/>
          <w:sz w:val="20"/>
        </w:rPr>
        <w:t>文　　号：暂无</w:t>
        <w:br/>
        <w:t>发文机关：国家互联网信息办公室、工业和信息化部、公安部</w:t>
        <w:br/>
        <w:t>发文日期：2026-08-20</w:t>
        <w:br/>
        <w:t>原文链接：https://www.cac.gov.cn/2026-06/18/c_1783525609778371.htm</w:t>
      </w:r>
    </w:p>
    <w:p>
      <w:pPr>
        <w:ind w:left="240"/>
      </w:pPr>
      <w:r>
        <w:t>规范网络数据安全风险评估活动，完善数据安全管理体制机制，今日起施行。</w:t>
      </w:r>
    </w:p>
    <w:p>
      <w:pPr>
        <w:spacing w:before="0" w:after="80"/>
        <w:pBdr>
          <w:bottom w:val="single" w:sz="4" w:space="1" w:color="DDDDDD"/>
        </w:pBdr>
      </w:pPr>
    </w:p>
    <w:p/>
    <w:p>
      <w:pPr>
        <w:pStyle w:val="Heading1"/>
      </w:pPr>
      <w:r>
        <w:rPr>
          <w:color w:val="5B6DE4"/>
          <w:sz w:val="28"/>
        </w:rPr>
        <w:t>二、过去一个月主要政策动向</w:t>
      </w:r>
    </w:p>
    <w:p>
      <w:r>
        <w:rPr>
          <w:b/>
          <w:sz w:val="24"/>
        </w:rPr>
        <w:t>《工业绿色低碳发展十五五规划》</w:t>
      </w:r>
    </w:p>
    <w:p>
      <w:r>
        <w:rPr>
          <w:color w:val="646464"/>
          <w:sz w:val="20"/>
        </w:rPr>
        <w:t>文　　号：工信部规〔2026〕169号</w:t>
        <w:br/>
        <w:t>发文机关：工业和信息化部</w:t>
        <w:br/>
        <w:t>发文日期：2026-07-15</w:t>
        <w:br/>
        <w:t>原文链接：https://www.miit.gov.cn/search/zcwjk.html?websiteid=110000000000000&amp;tpl=14&amp;category=183</w:t>
      </w:r>
    </w:p>
    <w:p>
      <w:pPr>
        <w:ind w:left="240"/>
      </w:pPr>
      <w:r>
        <w:t>部署工业领域绿色低碳转型，推动数字化绿色化协同发展。</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发文日期：2026-07-13</w:t>
        <w:br/>
        <w:t>原文链接：https://gyxxh.tj.gov.cn/ZWGK4147/ZCWJ6355/gjjwj/202607/t20260713_7334666.html</w:t>
      </w:r>
    </w:p>
    <w:p>
      <w:pPr>
        <w:ind w:left="240"/>
      </w:pPr>
      <w:r>
        <w:t>四部门联合推动互联网基础资源高质量发展，强化顶层设计与产业协同。</w:t>
      </w:r>
    </w:p>
    <w:p>
      <w:pPr>
        <w:spacing w:before="0" w:after="80"/>
        <w:pBdr>
          <w:bottom w:val="single" w:sz="4" w:space="1" w:color="DDDDDD"/>
        </w:pBdr>
      </w:pPr>
    </w:p>
    <w:p/>
    <w:p>
      <w:pPr>
        <w:pStyle w:val="Heading1"/>
      </w:pPr>
      <w:r>
        <w:rPr>
          <w:color w:val="5B6DE4"/>
          <w:sz w:val="28"/>
        </w:rPr>
        <w:t>三、今年以来主要政策</w:t>
      </w:r>
    </w:p>
    <w:p>
      <w:r>
        <w:rPr>
          <w:b/>
          <w:sz w:val="24"/>
        </w:rPr>
        <w:t>《全国数据资源调查报告（2025年）》</w:t>
      </w:r>
    </w:p>
    <w:p>
      <w:r>
        <w:rPr>
          <w:color w:val="646464"/>
          <w:sz w:val="20"/>
        </w:rPr>
        <w:t>文　　号：暂无</w:t>
        <w:br/>
        <w:t>发文机关：国家数据局</w:t>
        <w:br/>
        <w:t>发文日期：2026-04-29</w:t>
        <w:br/>
        <w:t>原文链接：https://www.nda.gov.cn/sjj/swdt/xwfb/0429/20260429164803571173880_pc.html</w:t>
      </w:r>
    </w:p>
    <w:p>
      <w:pPr>
        <w:ind w:left="240"/>
      </w:pPr>
      <w:r>
        <w:t>报告显示数据要素市场化价值化进程提速，三大体系协同推进。</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网络数据安全风险评估办法》于2026年8月20日正式施行，标志着数据安全治理从原则性规定走向具体操作指引。该办法由国家网信办、工信部、公安部三部门联合制定，明确了风险评估的对象、流程与责任主体，是《数据安全法》落地的重要配套制度。其逻辑在于将数据安全监管从静态合规转向动态评估，强化事前风险识别与预警能力。研判：后续将出台配套技术标准与行业细则，重点行业（如金融、能源、交通）的合规成本将显著上升，数据安全服务市场将迎来快速增长期。</w:t>
      </w:r>
    </w:p>
    <w:p>
      <w:r>
        <w:rPr>
          <w:b/>
          <w:color w:val="5B6DE4"/>
        </w:rPr>
        <w:t xml:space="preserve">②  </w:t>
      </w:r>
      <w:r>
        <w:t>趋势2（技术路线）：工信部等四部门联合发布《关于推动互联网基础资源高质量发展的指导意见》，将域名、IP地址、区块链基础设施等纳入数字基础设施统筹规划。这一政策动向表明，我国数字政策重心正从应用层向基础层下沉，通过夯实网络根基保障数字经济韧性。其逻辑在于，基础资源掌控力直接关系产业链安全与网络主权。研判：IPv6规模部署、根服务器镜像节点建设、区块链基础设施互联互通将成为下一阶段政策支持重点，相关领域的国产化替代进程将加速。</w:t>
      </w:r>
    </w:p>
    <w:p>
      <w:r>
        <w:rPr>
          <w:b/>
          <w:color w:val="5B6DE4"/>
        </w:rPr>
        <w:t xml:space="preserve">③  </w:t>
      </w:r>
      <w:r>
        <w:t>趋势3（产业影响）：工信部等八部门联合印发《汽车数据出境安全指引（2026版）》，在保障安全前提下提升汽车数据出境便利化水平。该政策精准回应了智能网联汽车产业全球化发展的现实需求，在数据安全与产业竞争力之间寻求动态平衡。其逻辑是通过分类分级管理，为高价值数据流动提供合规通道，避免'一刀切'式管制抑制创新。研判：汽车行业将率先形成数据跨境流动的行业范本，其经验可能向医疗、金融、航运等领域复制推广，推动形成更多行业性数据出境专项指引。</w:t>
      </w:r>
    </w:p>
    <w:p>
      <w:r>
        <w:rPr>
          <w:b/>
          <w:color w:val="5B6DE4"/>
        </w:rPr>
        <w:t xml:space="preserve">④  </w:t>
      </w:r>
      <w:r>
        <w:t>趋势4（安全合规）：2026年个人信息保护系列专项行动的开展，延续了监管部门对APP违规收集、过度索权、大数据杀熟等问题的高压态势。与往年相比，今年的行动更加注重与《网络数据安全风险评估办法》的衔接，强调通过技术手段提升监管效率。其逻辑在于，个人信息保护已从运动式执法转向常态化、机制化治理。研判：随着合规要求细化，企业数据合规岗位需求将持续增加，第三方合规审计市场将加速扩张，不合规的中小企业面临的市场准入门槛将进一步提高。</w:t>
      </w:r>
    </w:p>
    <w:p>
      <w:r>
        <w:rPr>
          <w:b/>
          <w:color w:val="5B6DE4"/>
        </w:rPr>
        <w:t xml:space="preserve">⑤  </w:t>
      </w:r>
      <w:r>
        <w:t>趋势5（区域格局）：从政策发布渠道看，天津市、江西省等地积极转发并落实国家层面数据政策，显示数据要素市场化配置改革正在从中央向地方纵深推进。各地数据管理部门陆续成立并开始发挥统筹协调作用，但区域间政策执行力度和产业基础差异明显。其逻辑在于，数据要素市场建设需要央地协同，地方试点经验可为全国制度设计提供参考。研判：长三角、粤港澳大湾区等数字经济发达地区将率先形成数据要素市场化配置的示范模式，而中西部地区更需关注数据基础设施建设和人才储备，避免数字鸿沟进一步扩大。</w:t>
      </w:r>
    </w:p>
    <w:p>
      <w:r>
        <w:rPr>
          <w:b/>
          <w:color w:val="5B6DE4"/>
        </w:rPr>
        <w:t xml:space="preserve">⑥  </w:t>
      </w:r>
      <w:r>
        <w:t>趋势6（国际比较）：中国在数据安全治理领域采取'法律+行政法规+部门规章'的多层级立法模式，与美国行业自律为主、欧盟统一立法模式形成鲜明对比。欧盟《人工智能法案》已于2026年进入全面实施阶段，对高风险AI系统施加严格合规义务；美国则通过行政命令推动联邦机构AI应用治理，强调创新优先。中国《网络数据安全风险评估办法》的施行，在制度精细度上接近欧盟路径，但在执行机制上更强调行政主导。研判：三方治理模式差异将导致跨国企业面临合规碎片化挑战，中国可借'数据出境安全评估'等制度输出治理标准，在数字治理领域增强国际话语权，但需注意与CPTPP、DEPA等国际经贸规则的衔接。</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