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生成日期：2026-07-24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发文日期：2026-07-13</w:t>
        <w:br/>
        <w:t>原文链接：https://gyxxh.tj.gov.cn/ZWGK4147/ZCWJ6355/gjjwj/202607/t20260713_7334666.html</w:t>
      </w:r>
    </w:p>
    <w:p>
      <w:pPr>
        <w:ind w:left="240"/>
      </w:pPr>
      <w:r>
        <w:t>四部门联合印发，推动互联网基础资源高质量发展。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《国家网信办将在2026年APEC数字周期间举办系列活动》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发文日期：2026-07-14</w:t>
      </w:r>
    </w:p>
    <w:p>
      <w:pPr>
        <w:ind w:left="240"/>
      </w:pPr>
      <w:r>
        <w:t>APEC数字周在成都举办，聚焦数字经济与人工智能治理。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《2026年“人工智能+电竞创新应用大赛”启动》</w:t>
      </w:r>
    </w:p>
    <w:p>
      <w:r>
        <w:rPr>
          <w:color w:val="646464"/>
          <w:sz w:val="20"/>
        </w:rPr>
        <w:t>文　　号：暂无</w:t>
        <w:br/>
        <w:t>发文机关：广西壮族自治区大数据发展局</w:t>
        <w:br/>
        <w:t>发文日期：2026-07-15</w:t>
      </w:r>
    </w:p>
    <w:p>
      <w:pPr>
        <w:ind w:left="240"/>
      </w:pPr>
      <w:r>
        <w:t>广西举办AI+电竞创新大赛，推动人工智能应用落地。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发文日期：2026-05-29</w:t>
        <w:br/>
        <w:t>原文链接：https://www.cac.gov.cn/wxzw/zcfg/A093703index_1.htm</w:t>
      </w:r>
    </w:p>
    <w:p>
      <w:pPr>
        <w:ind w:left="240"/>
      </w:pPr>
      <w:r>
        <w:t>规范互联网信息内容多渠道分发服务，促进健康发展。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《浙江省支持之江人工智能公共算力开放创新平台建设》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发文日期：2026-06-25</w:t>
      </w:r>
    </w:p>
    <w:p>
      <w:pPr>
        <w:ind w:left="240"/>
      </w:pPr>
      <w:r>
        <w:t>浙江支持万卡计算集群建设，提供普惠算力。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《广西规上工业企业数智化转型工作指引（2026版）》</w:t>
      </w:r>
    </w:p>
    <w:p>
      <w:r>
        <w:rPr>
          <w:color w:val="646464"/>
          <w:sz w:val="20"/>
        </w:rPr>
        <w:t>文　　号：暂无</w:t>
        <w:br/>
        <w:t>发文机关：广西壮族自治区工业和信息化厅</w:t>
        <w:br/>
        <w:t>发文日期：2026-07-01</w:t>
      </w:r>
    </w:p>
    <w:p>
      <w:pPr>
        <w:ind w:left="240"/>
      </w:pPr>
      <w:r>
        <w:t>推动广西规上工业企业数智化转型全域覆盖。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《互联网信息服务深度合成管理规定》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发文日期：2026-03-03</w:t>
        <w:br/>
        <w:t>原文链接：https://cqca.miit.gov.cn/zwgk/zcwj/flfg/index.html</w:t>
      </w:r>
    </w:p>
    <w:p>
      <w:pPr>
        <w:ind w:left="240"/>
      </w:pPr>
      <w:r>
        <w:t>规范深度合成服务，加强人工智能内容安全管理。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《网络数据安全管理条例》</w:t>
      </w:r>
    </w:p>
    <w:p>
      <w:r>
        <w:rPr>
          <w:color w:val="646464"/>
          <w:sz w:val="20"/>
        </w:rPr>
        <w:t>文　　号：暂无</w:t>
        <w:br/>
        <w:t>发文机关：国务院</w:t>
        <w:br/>
        <w:t>发文日期：2026-03-03</w:t>
        <w:br/>
        <w:t>原文链接：https://cqca.miit.gov.cn/zwgk/zcwj/flfg/index.html</w:t>
      </w:r>
    </w:p>
    <w:p>
      <w:pPr>
        <w:ind w:left="240"/>
      </w:pPr>
      <w:r>
        <w:t>细化网络数据处理活动安全要求，强化数据保护。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《政务数据共享条例》</w:t>
      </w:r>
    </w:p>
    <w:p>
      <w:r>
        <w:rPr>
          <w:color w:val="646464"/>
          <w:sz w:val="20"/>
        </w:rPr>
        <w:t>文　　号：暂无</w:t>
        <w:br/>
        <w:t>发文机关：国务院</w:t>
        <w:br/>
        <w:t>发文日期：2026-03-03</w:t>
        <w:br/>
        <w:t>原文链接：https://cqca.miit.gov.cn/zwgk/zcwj/flfg/index.html</w:t>
      </w:r>
    </w:p>
    <w:p>
      <w:pPr>
        <w:ind w:left="240"/>
      </w:pPr>
      <w:r>
        <w:t>促进政务数据有序共享，提升数字政府效能。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《欧盟人工智能法案（EU AI Act）正式生效》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发文日期：2026-02-02</w:t>
      </w:r>
    </w:p>
    <w:p>
      <w:pPr>
        <w:ind w:left="240"/>
      </w:pPr>
      <w:r>
        <w:t>全球首部全面AI监管法规生效，按风险分级管理。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《美国人工智能行政令（Executive Order on AI）》</w:t>
      </w:r>
    </w:p>
    <w:p>
      <w:r>
        <w:rPr>
          <w:color w:val="646464"/>
          <w:sz w:val="20"/>
        </w:rPr>
        <w:t>文　　号：暂无</w:t>
        <w:br/>
        <w:t>发文机关：White House</w:t>
        <w:br/>
        <w:t>发文日期：2026-01-15</w:t>
      </w:r>
    </w:p>
    <w:p>
      <w:pPr>
        <w:ind w:left="240"/>
      </w:pPr>
      <w:r>
        <w:t>美国发布AI行政令，强调安全、隐私与创新平衡。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《日本AI政策基本法（AI Basic Law）》</w:t>
      </w:r>
    </w:p>
    <w:p>
      <w:r>
        <w:rPr>
          <w:color w:val="646464"/>
          <w:sz w:val="20"/>
        </w:rPr>
        <w:t>文　　号：暂无</w:t>
        <w:br/>
        <w:t>发文机关：日本国会</w:t>
        <w:br/>
        <w:t>发文日期：2026-03-15</w:t>
      </w:r>
    </w:p>
    <w:p>
      <w:pPr>
        <w:ind w:left="240"/>
      </w:pPr>
      <w:r>
        <w:t>日本通过AI基本法，确立开发与利用原则。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2026年3月，中国密集出台《互联网信息服务深度合成管理规定》《网络数据安全管理条例》《政务数据共享条例》三部法规，标志着AI与数据治理进入“法规落地年”。三部法规分别从算法内容安全、数据全生命周期保护、政府数据开放三个维度构建制度闭环。下一步，预计将出台配套实施细则，尤其是深度合成服务的标识义务与数据跨境流动的负面清单，企业需提前调整合规架构。</w:t>
      </w:r>
    </w:p>
    <w:p>
      <w:r>
        <w:rPr>
          <w:b/>
          <w:color w:val="5B6DE4"/>
        </w:rPr>
        <w:t xml:space="preserve">②  </w:t>
      </w:r>
      <w:r>
        <w:t>趋势2（算力普惠化）：工信部4月启动“普惠算力赋能中小企业专项行动”，安徽、浙江等地同步推出算力券，天津发布算力产业发展实施方案。政策逻辑在于：算力已成为新型生产要素，但中小企业用算成本高、门槛高。通过政府补贴、平台开放、集群共建等方式，降低算力获取成本，是推动AI赋能实体经济的关键抓手。预计2026年下半年将有更多省市跟进，算力券或成为常态化政策工具。</w:t>
      </w:r>
    </w:p>
    <w:p>
      <w:r>
        <w:rPr>
          <w:b/>
          <w:color w:val="5B6DE4"/>
        </w:rPr>
        <w:t xml:space="preserve">③  </w:t>
      </w:r>
      <w:r>
        <w:t>趋势3（区域算力格局）：天津、浙江、河南、安徽等地密集出台算力专项政策，形成“东部引领、中部追赶”的格局。天津强调京津冀一体化算力枢纽，浙江聚焦万卡集群与普惠算力，河南部署新基建与5G融合。这反映出东数西算工程从宏观布局转向地方精细化落地，各地根据产业基础差异化定位。下一步，需关注跨区域算力调度与结算机制能否打通，避免重复建设。</w:t>
      </w:r>
    </w:p>
    <w:p>
      <w:r>
        <w:rPr>
          <w:b/>
          <w:color w:val="5B6DE4"/>
        </w:rPr>
        <w:t xml:space="preserve">④  </w:t>
      </w:r>
      <w:r>
        <w:t>趋势4（工业互联网与数字化转型深度融合）：工信部发布《推动工业互联网平台高质量发展行动方案（2026—2028年）》，广西、福建、深圳等地出台数智化转型指引或项目补助。政策逻辑从“建平台”转向“用平台”，强调场景化、图谱化推进，并首次提出“规上工业企业数智化转型全域覆盖”目标。预计未来两年，工业互联网平台将加速与AI、5G融合，形成“平台+大模型”的新范式。</w:t>
      </w:r>
    </w:p>
    <w:p>
      <w:r>
        <w:rPr>
          <w:b/>
          <w:color w:val="5B6DE4"/>
        </w:rPr>
        <w:t xml:space="preserve">⑤  </w:t>
      </w:r>
      <w:r>
        <w:t>趋势5（AI安全治理成为全球共识）：2026年世界人工智能大会聚焦全球AI治理，习近平主席主旨讲话强调反对技术壁垒与安全泛化。中国新修改的网络安全法将AI纳入法律体系，欧盟AI Act正式生效，美国AI行政令强调安全测试。三方治理路径差异明显：中国侧重发展与安全并重，欧盟以风险分级为核心，美国强调行业自律与创新。中国在APEC数字周推动多边对话，意在争取全球AI治理话语权。</w:t>
      </w:r>
    </w:p>
    <w:p>
      <w:r>
        <w:rPr>
          <w:b/>
          <w:color w:val="5B6DE4"/>
        </w:rPr>
        <w:t xml:space="preserve">⑥  </w:t>
      </w:r>
      <w:r>
        <w:t>趋势6（国际比较：中国、欧盟、美国AI治理路径分化与启示）：中国2026年通过深度合成规定、网络数据条例等构建“场景化监管”体系，欧盟AI Act以风险分级（不可接受风险、高风险、有限风险）实施事前评估，美国则通过行政令要求联邦机构制定AI使用指南。中国更强调“促进发展”与“安全可控”的平衡，欧盟侧重人权保护，美国偏向产业创新。启示在于：中国可借鉴欧盟的风险分级方法细化监管，同时学习美国灵活的标准制定机制，避免过度规制抑制创新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