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生成日期：2026-06-18　　数据 · 算力 · 信息化</w:t>
      </w:r>
    </w:p>
    <w:p/>
    <w:p>
      <w:pPr>
        <w:pStyle w:val="Heading1"/>
      </w:pPr>
      <w:r>
        <w:rPr>
          <w:color w:val="5B6DE4"/>
          <w:sz w:val="28"/>
        </w:rPr>
        <w:t>一、过去 24 小时关键政策</w:t>
      </w:r>
    </w:p>
    <w:p>
      <w:r>
        <w:rPr>
          <w:b/>
          <w:sz w:val="24"/>
        </w:rPr>
        <w:t>《工业和信息化部关于印发《“人工智能+信息通信”创新发展实施意见（2026）》》</w:t>
      </w:r>
    </w:p>
    <w:p>
      <w:r>
        <w:rPr>
          <w:color w:val="646464"/>
          <w:sz w:val="20"/>
        </w:rPr>
        <w:t>文　　号：暂无</w:t>
        <w:br/>
        <w:t>发文机关：工业和信息化部</w:t>
        <w:br/>
        <w:t>发文日期：2026-06-11</w:t>
        <w:br/>
        <w:t>原文链接：https://hubca.miit.gov.cn/zwgk/zcwj/wjfb/art/2026/art_1a6880738cfc4235afeda815d6ae8ab4.html</w:t>
      </w:r>
    </w:p>
    <w:p>
      <w:pPr>
        <w:ind w:left="240"/>
      </w:pPr>
      <w:r>
        <w:t>推动AI与信息通信融合，构建智能化监管与安全体系</w:t>
      </w:r>
    </w:p>
    <w:p>
      <w:pPr>
        <w:spacing w:before="0" w:after="80"/>
        <w:pBdr>
          <w:bottom w:val="single" w:sz="4" w:space="1" w:color="DDDDDD"/>
        </w:pBdr>
      </w:pPr>
    </w:p>
    <w:p>
      <w:r>
        <w:rPr>
          <w:b/>
          <w:sz w:val="24"/>
        </w:rPr>
        <w:t>《关于发布生成式人工智能服务已备案信息的公告（2026年3月至4月）》</w:t>
      </w:r>
    </w:p>
    <w:p>
      <w:r>
        <w:rPr>
          <w:color w:val="646464"/>
          <w:sz w:val="20"/>
        </w:rPr>
        <w:t>文　　号：暂无</w:t>
        <w:br/>
        <w:t>发文机关：国家互联网信息办公室</w:t>
        <w:br/>
        <w:t>发文日期：2026-06-12</w:t>
        <w:br/>
        <w:t>原文链接：https://www.cac.gov.cn/wxzw/wxfb/A093702index_1.htm</w:t>
      </w:r>
    </w:p>
    <w:p>
      <w:pPr>
        <w:ind w:left="240"/>
      </w:pPr>
      <w:r>
        <w:t>公布最新一批生成式AI服务备案信息，强化合规管理</w:t>
      </w:r>
    </w:p>
    <w:p>
      <w:pPr>
        <w:spacing w:before="0" w:after="80"/>
        <w:pBdr>
          <w:bottom w:val="single" w:sz="4" w:space="1" w:color="DDDDDD"/>
        </w:pBdr>
      </w:pPr>
    </w:p>
    <w:p/>
    <w:p>
      <w:pPr>
        <w:pStyle w:val="Heading1"/>
      </w:pPr>
      <w:r>
        <w:rPr>
          <w:color w:val="5B6DE4"/>
          <w:sz w:val="28"/>
        </w:rPr>
        <w:t>二、过去一个月主要政策动向</w:t>
      </w:r>
    </w:p>
    <w:p>
      <w:r>
        <w:rPr>
          <w:b/>
          <w:sz w:val="24"/>
        </w:rPr>
        <w:t>《《2026年数字经济发展工作要点》印发》</w:t>
      </w:r>
    </w:p>
    <w:p>
      <w:r>
        <w:rPr>
          <w:color w:val="646464"/>
          <w:sz w:val="20"/>
        </w:rPr>
        <w:t>文　　号：暂无</w:t>
        <w:br/>
        <w:t>发文机关：国家数据局、国家发展改革委等</w:t>
        <w:br/>
        <w:t>发文日期：2026-05-21</w:t>
      </w:r>
    </w:p>
    <w:p>
      <w:pPr>
        <w:ind w:left="240"/>
      </w:pPr>
      <w:r>
        <w:t>部署数据产权登记、算力网建设、数据赋能AI等任务</w:t>
      </w:r>
    </w:p>
    <w:p>
      <w:pPr>
        <w:spacing w:before="0" w:after="80"/>
        <w:pBdr>
          <w:bottom w:val="single" w:sz="4" w:space="1" w:color="DDDDDD"/>
        </w:pBdr>
      </w:pPr>
    </w:p>
    <w:p>
      <w:r>
        <w:rPr>
          <w:b/>
          <w:sz w:val="24"/>
        </w:rPr>
        <w:t>《智能体规范应用与创新发展实施意见》</w:t>
      </w:r>
    </w:p>
    <w:p>
      <w:r>
        <w:rPr>
          <w:color w:val="646464"/>
          <w:sz w:val="20"/>
        </w:rPr>
        <w:t>文　　号：暂无</w:t>
        <w:br/>
        <w:t>发文机关：国家网信办、国家发展改革委、工业和信息化部</w:t>
        <w:br/>
        <w:t>发文日期：2026-05-08</w:t>
        <w:br/>
        <w:t>原文链接：https://www.cac.gov.cn/wxzw/wxfb/A093702index_1.htm</w:t>
      </w:r>
    </w:p>
    <w:p>
      <w:pPr>
        <w:ind w:left="240"/>
      </w:pPr>
      <w:r>
        <w:t>首次针对智能体提出规范应用与创新发展框架</w:t>
      </w:r>
    </w:p>
    <w:p>
      <w:pPr>
        <w:spacing w:before="0" w:after="80"/>
        <w:pBdr>
          <w:bottom w:val="single" w:sz="4" w:space="1" w:color="DDDDDD"/>
        </w:pBdr>
      </w:pPr>
    </w:p>
    <w:p>
      <w:r>
        <w:rPr>
          <w:b/>
          <w:sz w:val="24"/>
        </w:rPr>
        <w:t>《国家互联网信息办公室关于发布第二十三批境内区块链信息服务备案编号的公告》</w:t>
      </w:r>
    </w:p>
    <w:p>
      <w:r>
        <w:rPr>
          <w:color w:val="646464"/>
          <w:sz w:val="20"/>
        </w:rPr>
        <w:t>文　　号：暂无</w:t>
        <w:br/>
        <w:t>发文机关：国家互联网信息办公室</w:t>
        <w:br/>
        <w:t>发文日期：2026-05-12</w:t>
        <w:br/>
        <w:t>原文链接：https://www.cac.gov.cn/wxzw/wxfb/A093702index_1.htm</w:t>
      </w:r>
    </w:p>
    <w:p>
      <w:pPr>
        <w:ind w:left="240"/>
      </w:pPr>
      <w:r>
        <w:t>发布新一批区块链信息服务备案，促进规范发展</w:t>
      </w:r>
    </w:p>
    <w:p>
      <w:pPr>
        <w:spacing w:before="0" w:after="80"/>
        <w:pBdr>
          <w:bottom w:val="single" w:sz="4" w:space="1" w:color="DDDDDD"/>
        </w:pBdr>
      </w:pPr>
    </w:p>
    <w:p>
      <w:r>
        <w:rPr>
          <w:b/>
          <w:sz w:val="24"/>
        </w:rPr>
        <w:t>《刘烈宏赴温州市、深圳市、东莞市调研数据要素市场化配置改革工作》</w:t>
      </w:r>
    </w:p>
    <w:p>
      <w:r>
        <w:rPr>
          <w:color w:val="646464"/>
          <w:sz w:val="20"/>
        </w:rPr>
        <w:t>文　　号：暂无</w:t>
        <w:br/>
        <w:t>发文机关：国家数据局</w:t>
        <w:br/>
        <w:t>发文日期：2026-06-01</w:t>
        <w:br/>
        <w:t>原文链接：https://www.ndrc.gov.cn/fzggw/wld/llh/zyhd/index.html</w:t>
      </w:r>
    </w:p>
    <w:p>
      <w:pPr>
        <w:ind w:left="240"/>
      </w:pPr>
      <w:r>
        <w:t>调研数据要素改革进展，推动全国统一市场建设</w:t>
      </w:r>
    </w:p>
    <w:p>
      <w:pPr>
        <w:spacing w:before="0" w:after="80"/>
        <w:pBdr>
          <w:bottom w:val="single" w:sz="4" w:space="1" w:color="DDDDDD"/>
        </w:pBdr>
      </w:pPr>
    </w:p>
    <w:p>
      <w:r>
        <w:rPr>
          <w:b/>
          <w:sz w:val="24"/>
        </w:rPr>
        <w:t>《上海印发数据出境负面清单管理办法及2025版清单》</w:t>
      </w:r>
    </w:p>
    <w:p>
      <w:r>
        <w:rPr>
          <w:color w:val="646464"/>
          <w:sz w:val="20"/>
        </w:rPr>
        <w:t>文　　号：暂无</w:t>
        <w:br/>
        <w:t>发文机关：上海市网信办、上海市数据局</w:t>
        <w:br/>
        <w:t>发文日期：2026-04-30</w:t>
      </w:r>
    </w:p>
    <w:p>
      <w:pPr>
        <w:ind w:left="240"/>
      </w:pPr>
      <w:r>
        <w:t>细化数据出境负面清单，便利自贸区数据跨境流动</w:t>
      </w:r>
    </w:p>
    <w:p>
      <w:pPr>
        <w:spacing w:before="0" w:after="80"/>
        <w:pBdr>
          <w:bottom w:val="single" w:sz="4" w:space="1" w:color="DDDDDD"/>
        </w:pBdr>
      </w:pPr>
    </w:p>
    <w:p/>
    <w:p>
      <w:pPr>
        <w:pStyle w:val="Heading1"/>
      </w:pPr>
      <w:r>
        <w:rPr>
          <w:color w:val="5B6DE4"/>
          <w:sz w:val="28"/>
        </w:rPr>
        <w:t>三、今年以来主要政策</w:t>
      </w:r>
    </w:p>
    <w:p>
      <w:r>
        <w:rPr>
          <w:b/>
          <w:sz w:val="24"/>
        </w:rPr>
        <w:t>《工业互联网和人工智能融合赋能行动方案》</w:t>
      </w:r>
    </w:p>
    <w:p>
      <w:r>
        <w:rPr>
          <w:color w:val="646464"/>
          <w:sz w:val="20"/>
        </w:rPr>
        <w:t>文　　号：暂无</w:t>
        <w:br/>
        <w:t>发文机关：工业和信息化部</w:t>
        <w:br/>
        <w:t>发文日期：2026-06-18</w:t>
      </w:r>
    </w:p>
    <w:p>
      <w:pPr>
        <w:ind w:left="240"/>
      </w:pPr>
      <w:r>
        <w:t>推动工业互联网与AI融合，实施四大行动</w:t>
      </w:r>
    </w:p>
    <w:p>
      <w:pPr>
        <w:spacing w:before="0" w:after="80"/>
        <w:pBdr>
          <w:bottom w:val="single" w:sz="4" w:space="1" w:color="DDDDDD"/>
        </w:pBdr>
      </w:pPr>
    </w:p>
    <w:p>
      <w:r>
        <w:rPr>
          <w:b/>
          <w:sz w:val="24"/>
        </w:rPr>
        <w:t>《推动工业互联网平台高质量发展行动方案（2026—2028年）》</w:t>
      </w:r>
    </w:p>
    <w:p>
      <w:r>
        <w:rPr>
          <w:color w:val="646464"/>
          <w:sz w:val="20"/>
        </w:rPr>
        <w:t>文　　号：暂无</w:t>
        <w:br/>
        <w:t>发文机关：工业和信息化部</w:t>
        <w:br/>
        <w:t>发文日期：2026-01-13</w:t>
      </w:r>
    </w:p>
    <w:p>
      <w:pPr>
        <w:ind w:left="240"/>
      </w:pPr>
      <w:r>
        <w:t>部署工业互联网平台高质量发展三年行动</w:t>
      </w:r>
    </w:p>
    <w:p>
      <w:pPr>
        <w:spacing w:before="0" w:after="80"/>
        <w:pBdr>
          <w:bottom w:val="single" w:sz="4" w:space="1" w:color="DDDDDD"/>
        </w:pBdr>
      </w:pPr>
    </w:p>
    <w:p>
      <w:r>
        <w:rPr>
          <w:b/>
          <w:sz w:val="24"/>
        </w:rPr>
        <w:t>《上海市经济信息化委关于组织2026年上海市制造业智能化发展项目》</w:t>
      </w:r>
    </w:p>
    <w:p>
      <w:r>
        <w:rPr>
          <w:color w:val="646464"/>
          <w:sz w:val="20"/>
        </w:rPr>
        <w:t>文　　号：暂无</w:t>
        <w:br/>
        <w:t>发文机关：上海市经济和信息化委员会</w:t>
        <w:br/>
        <w:t>发文日期：2026-01-12</w:t>
        <w:br/>
        <w:t>原文链接：https://www.sheitc.sh.gov.cn/cyfz/20260112/11e3168ff89a4eeea2b1afd193c19418.html</w:t>
      </w:r>
    </w:p>
    <w:p>
      <w:pPr>
        <w:ind w:left="240"/>
      </w:pPr>
      <w:r>
        <w:t>支持工业互联网平台智能化升级，推动制造业转型</w:t>
      </w:r>
    </w:p>
    <w:p>
      <w:pPr>
        <w:spacing w:before="0" w:after="80"/>
        <w:pBdr>
          <w:bottom w:val="single" w:sz="4" w:space="1" w:color="DDDDDD"/>
        </w:pBdr>
      </w:pPr>
    </w:p>
    <w:p>
      <w:r>
        <w:rPr>
          <w:b/>
          <w:sz w:val="24"/>
        </w:rPr>
        <w:t>《广东省工业和信息化厅关于开展2026年支持推动人工智能赋能新型工业化标杆项目入库储备工作》</w:t>
      </w:r>
    </w:p>
    <w:p>
      <w:r>
        <w:rPr>
          <w:color w:val="646464"/>
          <w:sz w:val="20"/>
        </w:rPr>
        <w:t>文　　号：暂无</w:t>
        <w:br/>
        <w:t>发文机关：广东省工业和信息化厅</w:t>
        <w:br/>
        <w:t>发文日期：2026-06-18</w:t>
        <w:br/>
        <w:t>原文链接：http://www.jiangmen.gov.cn/jmgxj/attachment/0/349/349704/3350943.pdf</w:t>
      </w:r>
    </w:p>
    <w:p>
      <w:pPr>
        <w:ind w:left="240"/>
      </w:pPr>
      <w:r>
        <w:t>聚焦AI赋能新型工业化，组织标杆项目入库</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趋势1（智能体治理框架快速成型）：2026年5月，国家网信办等三部门联合发布《智能体规范应用与创新发展实施意见》，这是全球首个针对智能体（AI Agent）的专项治理文件。其政策逻辑在于：智能体正从对话式AI向自主决策、执行任务的形态演进，现有生成式AI监管框架难以覆盖其行为责任、数据闭环等新风险。研判：后续将出台配套的智能体备案、安全评估细则，企业需提前布局智能体的可解释性与人工干预机制。</w:t>
      </w:r>
    </w:p>
    <w:p>
      <w:r>
        <w:rPr>
          <w:b/>
          <w:color w:val="5B6DE4"/>
        </w:rPr>
        <w:t xml:space="preserve">②  </w:t>
      </w:r>
      <w:r>
        <w:t>趋势2（数据要素市场化改革进入深水区）：《2026年数字经济发展工作要点》明确提出加快建立全国统一数据产权登记制度，国家数据局局长刘烈宏近期密集调研温州、深圳、东莞等地数据要素改革。政策意图在于打破地方数据壁垒，推动公共数据授权运营价格形成机制落地。研判：2026年下半年有望出台全国性数据产权登记指引，数据交易所将从‘建起来’转向‘用起来’，数据资产入表将加速。</w:t>
      </w:r>
    </w:p>
    <w:p>
      <w:r>
        <w:rPr>
          <w:b/>
          <w:color w:val="5B6DE4"/>
        </w:rPr>
        <w:t xml:space="preserve">③  </w:t>
      </w:r>
      <w:r>
        <w:t>趋势3（算力布局从‘东数西算’走向‘算网协同’）：天津、山西等地相继发布算力产业发展方案，强调通用算力、智能算力、超级算力一体化布局，以及算力与网络、能源协同。政策逻辑在于：大模型训练对智能算力需求爆发，单点数据中心已无法满足，必须构建全国一体化算力网。研判：算力调度平台将成为新基建重点，绿电消纳与算力中心捆绑的政策将增多。</w:t>
      </w:r>
    </w:p>
    <w:p>
      <w:r>
        <w:rPr>
          <w:b/>
          <w:color w:val="5B6DE4"/>
        </w:rPr>
        <w:t xml:space="preserve">④  </w:t>
      </w:r>
      <w:r>
        <w:t>趋势4（工业互联网与AI深度融合成为制造业转型主线）：工信部2026年初印发《工业互联网和人工智能融合赋能行动方案》，上海、广东等地迅速跟进，设立专项资金支持工业互联网平台智能化升级。驱动因素：工业场景对AI的需求从‘质检’扩展到‘工艺优化、供应链调度’，但工业数据碎片化制约模型泛化。研判：工业大模型将进入垂直行业定制阶段，数据标注与模型微调服务商将受益。</w:t>
      </w:r>
    </w:p>
    <w:p>
      <w:r>
        <w:rPr>
          <w:b/>
          <w:color w:val="5B6DE4"/>
        </w:rPr>
        <w:t xml:space="preserve">⑤  </w:t>
      </w:r>
      <w:r>
        <w:t>趋势5（数据出境监管从‘一刀切’走向‘负面清单+场景化’）：上海率先印发数据出境负面清单管理办法及2025版清单，明确自贸区与临港新片区的数据出境管理细则。政策逻辑：在保障国家安全前提下，为跨国企业数据流动提供确定性，吸引外资。研判：其他自贸区将跟进复制上海模式，数据出境安全评估效率有望提升，但关键行业（如汽车、金融）的出境限制仍将严格。</w:t>
      </w:r>
    </w:p>
    <w:p>
      <w:r>
        <w:rPr>
          <w:b/>
          <w:color w:val="5B6DE4"/>
        </w:rPr>
        <w:t xml:space="preserve">⑥  </w:t>
      </w:r>
      <w:r>
        <w:t>趋势6（国际比较：中国‘发展与安全并重’vs 欧盟‘风险分级’vs 美国‘行业自律’）：中国2026年密集出台智能体、数据要素、工业互联网等政策，强调‘规范应用与创新发展’平衡；欧盟《AI法案》2026年进入全面执行阶段，按风险分级监管；美国则通过行政令推动联邦机构采用AI，但缺乏联邦层面统一立法。启示：中国在智能体治理上领先，但数据跨境流动规则仍比欧盟复杂；美国行业自律模式效率高但消费者保护不足。中国可借鉴欧盟风险分级方法细化AI监管，同时吸收美国灵活机制促进产业创新。</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