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生成日期：2026-08-08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《8月新规来了：涉及就业、环保、数据安全等》</w:t>
      </w:r>
    </w:p>
    <w:p>
      <w:r>
        <w:rPr>
          <w:color w:val="646464"/>
          <w:sz w:val="20"/>
        </w:rPr>
        <w:t>文　　号：暂无</w:t>
        <w:br/>
        <w:t>发文机关：中国网</w:t>
        <w:br/>
        <w:t>发文日期：2026-07-30</w:t>
        <w:br/>
        <w:t>原文链接：http://news.china.com.cn/2026-07/30/content_118625576.shtml</w:t>
      </w:r>
    </w:p>
    <w:p>
      <w:pPr>
        <w:ind w:left="240"/>
      </w:pPr>
      <w:r>
        <w:t>梳理8月起施行的新规，涵盖就业、环保、数据安全等领域。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《国家网信办发布生成式人工智能服务已备案信息公告（2026年5月至6月）》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发文日期：2026-07-31</w:t>
      </w:r>
    </w:p>
    <w:p>
      <w:pPr>
        <w:ind w:left="240"/>
      </w:pPr>
      <w:r>
        <w:t>新增120款生成式AI服务完成备案，累计988款；要求应用显著位置公示备案信息。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《2026中国国际大数据产业博览会新闻发布会》</w:t>
      </w:r>
    </w:p>
    <w:p>
      <w:r>
        <w:rPr>
          <w:color w:val="646464"/>
          <w:sz w:val="20"/>
        </w:rPr>
        <w:t>文　　号：暂无</w:t>
        <w:br/>
        <w:t>发文机关：河南省数据局</w:t>
        <w:br/>
        <w:t>发文日期：2026-07-31</w:t>
        <w:br/>
        <w:t>原文链接：https://m.spzwxxj.henan.gov.cn/2026/07-31/3381078.html</w:t>
      </w:r>
    </w:p>
    <w:p>
      <w:pPr>
        <w:ind w:left="240"/>
      </w:pPr>
      <w:r>
        <w:t>介绍数博会情况：140万PFLOPS智能算力接入全国一体化算力网，登记数据资源近30万项。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《工信部印发《“人工智能+信息通信”创新发展实施意见（2026—2028年）》》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发文日期：2026-06-12</w:t>
        <w:br/>
        <w:t>原文链接：https://www.hbqj.gov.cn/sjjhxxhj/zfxxgk/zc/bbmwj/202606/t20260612_5957098.html</w:t>
      </w:r>
    </w:p>
    <w:p>
      <w:pPr>
        <w:ind w:left="240"/>
      </w:pPr>
      <w:r>
        <w:t>构建“枢纽—区域—边缘”三级算力设施体系，加快算力大通道建设，促进算力、模型、应用协同。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《2026年“人工智能+电竞创新应用大赛”启动》</w:t>
      </w:r>
    </w:p>
    <w:p>
      <w:r>
        <w:rPr>
          <w:color w:val="646464"/>
          <w:sz w:val="20"/>
        </w:rPr>
        <w:t>文　　号：暂无</w:t>
        <w:br/>
        <w:t>发文机关：广西壮族自治区大数据发展局</w:t>
        <w:br/>
        <w:t>发文日期：2026-07-15</w:t>
      </w:r>
    </w:p>
    <w:p>
      <w:pPr>
        <w:ind w:left="240"/>
      </w:pPr>
      <w:r>
        <w:t>面向全国及东盟国家，设置核心赛事及揭榜挂帅子赛事，激活数字文创与电竞产业生态。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《网络数据安全风险评估办法》</w:t>
      </w:r>
    </w:p>
    <w:p>
      <w:r>
        <w:rPr>
          <w:color w:val="646464"/>
          <w:sz w:val="20"/>
        </w:rPr>
        <w:t>文　　号：暂无</w:t>
        <w:br/>
        <w:t>发文机关：国家互联网信息办公室、工业和信息化部、公安部</w:t>
        <w:br/>
        <w:t>发文日期：2026-06-18</w:t>
        <w:br/>
        <w:t>原文链接：https://www.cac.gov.cn/2026-06/18/c_1783525609778371.htm</w:t>
      </w:r>
    </w:p>
    <w:p>
      <w:pPr>
        <w:ind w:left="240"/>
      </w:pPr>
      <w:r>
        <w:t>规范网络数据安全风险评估活动，自2026年8月20日起施行。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《金融信息服务数据分类分级指南（征求意见稿）》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发文日期：2026-01-24</w:t>
        <w:br/>
        <w:t>原文链接：https://www.cac.gov.cn/hdfw/wxan/A093802index_1.htm</w:t>
      </w:r>
    </w:p>
    <w:p>
      <w:pPr>
        <w:ind w:left="240"/>
      </w:pPr>
      <w:r>
        <w:t>对金融信息服务数据分类分级提供指引，公开征求意见。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《福建省工业和信息化厅关于开展2026年省级工业数字化转型项目申报工作的通知》</w:t>
      </w:r>
    </w:p>
    <w:p>
      <w:r>
        <w:rPr>
          <w:color w:val="646464"/>
          <w:sz w:val="20"/>
        </w:rPr>
        <w:t>文　　号：闽工信函信息〔2026〕43号</w:t>
        <w:br/>
        <w:t>发文机关：福建省工业和信息化厅</w:t>
        <w:br/>
        <w:t>发文日期：2026-01-28</w:t>
        <w:br/>
        <w:t>原文链接：https://gxt.fujian.gov.cn/zwgk/zfxxgk/fdzdgknr/gzdt/202601/t20260128_7086399.htm?assistant=true</w:t>
      </w:r>
    </w:p>
    <w:p>
      <w:pPr>
        <w:ind w:left="240"/>
      </w:pPr>
      <w:r>
        <w:t>组织开展2026年省级工业数字化转型项目申报工作。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《福州市工业和信息化局 福州市财政局关于组织开展2026年工业互联网重点项目补助申报的通知》</w:t>
      </w:r>
    </w:p>
    <w:p>
      <w:r>
        <w:rPr>
          <w:color w:val="646464"/>
          <w:sz w:val="20"/>
        </w:rPr>
        <w:t>文　　号：暂无</w:t>
        <w:br/>
        <w:t>发文机关：福州市工业和信息化局、福州市财政局</w:t>
        <w:br/>
        <w:t>发文日期：2026-03-26</w:t>
        <w:br/>
        <w:t>原文链接：https://www.fuzhou.gov.cn/zwgk/zxwj/bmwj_1/202603/t20260326_5301055.htm</w:t>
      </w:r>
    </w:p>
    <w:p>
      <w:pPr>
        <w:ind w:left="240"/>
      </w:pPr>
      <w:r>
        <w:t>对成效明显的工业互联网项目按实际投资额20%补助，最高不超过200万元。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《互联网用户账号信息管理规定》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发文日期：2026-08-01</w:t>
      </w:r>
    </w:p>
    <w:p>
      <w:pPr>
        <w:ind w:left="240"/>
      </w:pPr>
      <w:r>
        <w:t>规范互联网用户账号信息管理，自2026年8月1日起施行。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《网络数据安全风险评估办法》将于2026年8月20日正式施行，标志着我国数据安全治理从原则性规定走向具体操作指引。该办法由国家网信办、工信部、公安部三部门联合制定，明确了风险评估的对象、流程和主体责任，是《数据安全法》和《网络数据安全管理条例》落地实施的关键一环。其制度逻辑在于将数据安全监管从事前审批转向事中事后评估，通过常态化风险评估机制动态掌握数据处理活动风险状况。研判：后续或将配套出台风险评估机构资质认定标准和评估报告格式规范，相关咨询和测评服务市场将迎来快速增长，企业数据安全合规成本也将显著上升。</w:t>
      </w:r>
    </w:p>
    <w:p>
      <w:r>
        <w:rPr>
          <w:b/>
          <w:color w:val="5B6DE4"/>
        </w:rPr>
        <w:t xml:space="preserve">②  </w:t>
      </w:r>
      <w:r>
        <w:t>趋势2（技术路线）：工信部《“人工智能+信息通信”创新发展实施意见（2026—2028年）》明确提出构建“枢纽—区域—边缘”三级节点协同的算力设施体系，并建立统一算力标识体系。这一部署将“东数西算”工程从宏观布局推向精细化落地，通过算力标识实现全国算力资源的统一监测、调度和交易。政策逻辑在于解决当前算力资源分散、供需匹配效率低的问题，推动算力像水电一样成为可便捷获取的公共服务。研判：统一算力标识体系有望成为全国一体化算力网的技术底座，带动算力计量、算力调度、算力交易等新兴产业发展，但跨区域算力结算和利益分配机制仍是需要突破的难点。</w:t>
      </w:r>
    </w:p>
    <w:p>
      <w:r>
        <w:rPr>
          <w:b/>
          <w:color w:val="5B6DE4"/>
        </w:rPr>
        <w:t xml:space="preserve">③  </w:t>
      </w:r>
      <w:r>
        <w:t>趋势3（区域格局）：苏州、浙江、福州等地密集出台算力补贴和工业互联网补助政策，且补贴力度普遍达到30%左右、上限200万元。地方政府的积极跟进反映了国家层面普惠算力政策的传导效应，也暴露出各地在人工智能产业竞争中的焦虑——通过真金白银的补贴争夺算力需求方资源。值得关注的是，浙江明确使用超长期特别国债资金支持算力券兑付，这意味着算力补贴已上升为国家财政工具，而非单纯的地方让利。研判：算力补贴政策将加速中小企业上云用智，但也需警惕部分地区重复补贴、算力资源闲置等问题，未来政策可能从普惠补贴转向与产业绩效挂钩的精准支持。</w:t>
      </w:r>
    </w:p>
    <w:p>
      <w:r>
        <w:rPr>
          <w:b/>
          <w:color w:val="5B6DE4"/>
        </w:rPr>
        <w:t xml:space="preserve">④  </w:t>
      </w:r>
      <w:r>
        <w:t>趋势4（产业影响）：国家数据局在2026数博会新闻发布会上披露，已有140万PFLOPS智能算力接入全国一体化算力网试验验证平台，国家公共数据资源登记平台登记资源近30万项，累计发布417个典型案例和760个场景指引。这些数据表明数据要素市场已从制度建设期进入实质运营期，数据资源登记、场景开放、案例推广形成闭环。政策逻辑是通过示范效应降低市场主体的试错成本，加速数据要素与实体经济融合。研判：随着“数据要素×”大赛的持续推进，医疗、交通、金融等领域的数据融合应用将率先突破，但数据确权、定价、收益分配等基础制度仍需加快完善，否则规模化流通仍将受限。</w:t>
      </w:r>
    </w:p>
    <w:p>
      <w:r>
        <w:rPr>
          <w:b/>
          <w:color w:val="5B6DE4"/>
        </w:rPr>
        <w:t xml:space="preserve">⑤  </w:t>
      </w:r>
      <w:r>
        <w:t>趋势5（安全合规）：生成式人工智能服务备案信息显示，2026年5月至6月新增120款生成式AI服务完成备案，累计达988款，同时新增68款应用或功能完成登记。备案数量的快速增长既反映了行业创新活力，也意味着监管覆盖面持续扩大。公告重申已上线应用应在显著位置公示备案信息，这不仅是合规要求，更是为用户提供知情权和选择权。研判：随着备案进入常态化，监管重点可能从备案管理转向内容安全、算法审计等深度治理，预计将出台生成式AI服务年度评估机制，对模型能力、安全防护、用户权益保护等进行全面体检，行业洗牌或将加速。</w:t>
      </w:r>
    </w:p>
    <w:p>
      <w:r>
        <w:rPr>
          <w:b/>
          <w:color w:val="5B6DE4"/>
        </w:rPr>
        <w:t xml:space="preserve">⑥  </w:t>
      </w:r>
      <w:r>
        <w:t>趋势6（国际比较）：中国在数据安全治理上采取“立法+部门规章+标准规范”的多层级推进路径，如《网络数据安全风险评估办法》以部门联合规章形式出台，强调自上而下的行政监管；欧盟则依托《人工智能法案》（AI Act）采用风险分级管理模式，对高风险AI系统施加严格义务，更注重公民权利保护；美国目前仍以行政命令和行业自律为主，尚未形成统一联邦立法。三地比较可见，中国模式执行效率高、落地快，但企业合规负担较重；欧盟模式制度完备但落地周期长；美国模式灵活但监管一致性不足。研判：中国可借鉴欧盟的风险分级思路优化监管资源配置，同时通过参与ISO等国际标准制定输出中国方案，在数据跨境流动等议题上加强与东盟、一带一路沿线国家的规则对接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