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生成日期：2026-06-19　　数据 · 算力 · 信息化</w:t>
      </w:r>
    </w:p>
    <w:p/>
    <w:p>
      <w:pPr>
        <w:pStyle w:val="Heading1"/>
      </w:pPr>
      <w:r>
        <w:rPr>
          <w:color w:val="5B6DE4"/>
          <w:sz w:val="28"/>
        </w:rPr>
        <w:t>一、过去 24 小时关键政策</w:t>
      </w:r>
    </w:p>
    <w:p>
      <w:r>
        <w:rPr>
          <w:b/>
          <w:sz w:val="24"/>
        </w:rPr>
        <w:t>《人工智能+信息通信创新发展实施意见（2026）》</w:t>
      </w:r>
    </w:p>
    <w:p>
      <w:r>
        <w:rPr>
          <w:color w:val="646464"/>
          <w:sz w:val="20"/>
        </w:rPr>
        <w:t>文　　号：暂无</w:t>
        <w:br/>
        <w:t>发文机关：工业和信息化部</w:t>
        <w:br/>
        <w:t>发文日期：2026-06-11</w:t>
        <w:br/>
        <w:t>原文链接：https://hubca.miit.gov.cn/zwgk/zcwj/wjfb/art/2026/art_1a6880738cfc4235afeda815d6ae8ab4.html</w:t>
      </w:r>
    </w:p>
    <w:p>
      <w:pPr>
        <w:ind w:left="240"/>
      </w:pPr>
      <w:r>
        <w:t>推动AI与信息通信融合，构建智能化监管与安全体系</w:t>
      </w:r>
    </w:p>
    <w:p>
      <w:pPr>
        <w:spacing w:before="0" w:after="80"/>
        <w:pBdr>
          <w:bottom w:val="single" w:sz="4" w:space="1" w:color="DDDDDD"/>
        </w:pBdr>
      </w:pPr>
    </w:p>
    <w:p/>
    <w:p>
      <w:pPr>
        <w:pStyle w:val="Heading1"/>
      </w:pPr>
      <w:r>
        <w:rPr>
          <w:color w:val="5B6DE4"/>
          <w:sz w:val="28"/>
        </w:rPr>
        <w:t>二、过去一个月主要政策动向</w:t>
      </w:r>
    </w:p>
    <w:p>
      <w:r>
        <w:rPr>
          <w:b/>
          <w:sz w:val="24"/>
        </w:rPr>
        <w:t>《智能体规范应用与创新发展实施意见》</w:t>
      </w:r>
    </w:p>
    <w:p>
      <w:r>
        <w:rPr>
          <w:color w:val="646464"/>
          <w:sz w:val="20"/>
        </w:rPr>
        <w:t>文　　号：暂无</w:t>
        <w:br/>
        <w:t>发文机关：国家网信办、国家发展改革委、工业和信息化部</w:t>
        <w:br/>
        <w:t>发文日期：2026-05-08</w:t>
        <w:br/>
        <w:t>原文链接：https://www.cac.gov.cn/wxzw/wxfb/A093702index_1.htm</w:t>
      </w:r>
    </w:p>
    <w:p>
      <w:pPr>
        <w:ind w:left="240"/>
      </w:pPr>
      <w:r>
        <w:t>三部门联合发布智能体治理与发展政策，规范AI智能体应用</w:t>
      </w:r>
    </w:p>
    <w:p>
      <w:pPr>
        <w:spacing w:before="0" w:after="80"/>
        <w:pBdr>
          <w:bottom w:val="single" w:sz="4" w:space="1" w:color="DDDDDD"/>
        </w:pBdr>
      </w:pPr>
    </w:p>
    <w:p>
      <w:r>
        <w:rPr>
          <w:b/>
          <w:sz w:val="24"/>
        </w:rPr>
        <w:t>《2026年人工智能技术赋能网络安全应用测试公告》</w:t>
      </w:r>
    </w:p>
    <w:p>
      <w:r>
        <w:rPr>
          <w:color w:val="646464"/>
          <w:sz w:val="20"/>
        </w:rPr>
        <w:t>文　　号：暂无</w:t>
        <w:br/>
        <w:t>发文机关：中央网信办</w:t>
        <w:br/>
        <w:t>发文日期：2026-05-01</w:t>
        <w:br/>
        <w:t>原文链接：https://www.zjwx.gov.cn/col/col1673580/</w:t>
      </w:r>
    </w:p>
    <w:p>
      <w:pPr>
        <w:ind w:left="240"/>
      </w:pPr>
      <w:r>
        <w:t>推动AI技术在网络安全领域的测试与应用</w:t>
      </w:r>
    </w:p>
    <w:p>
      <w:pPr>
        <w:spacing w:before="0" w:after="80"/>
        <w:pBdr>
          <w:bottom w:val="single" w:sz="4" w:space="1" w:color="DDDDDD"/>
        </w:pBdr>
      </w:pPr>
    </w:p>
    <w:p>
      <w:r>
        <w:rPr>
          <w:b/>
          <w:sz w:val="24"/>
        </w:rPr>
        <w:t>《2026年中国网络文明大会在南宁举行》</w:t>
      </w:r>
    </w:p>
    <w:p>
      <w:r>
        <w:rPr>
          <w:color w:val="646464"/>
          <w:sz w:val="20"/>
        </w:rPr>
        <w:t>文　　号：暂无</w:t>
        <w:br/>
        <w:t>发文机关：中央网信办</w:t>
        <w:br/>
        <w:t>发文日期：2026-05-01</w:t>
        <w:br/>
        <w:t>原文链接：https://www.zjwx.gov.cn/col/col1673580/</w:t>
      </w:r>
    </w:p>
    <w:p>
      <w:pPr>
        <w:ind w:left="240"/>
      </w:pPr>
      <w:r>
        <w:t>聚焦网络文明建设，推进数字素养与技能提升</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w:t>
        <w:br/>
        <w:t>发文日期：2026-05-01</w:t>
        <w:br/>
        <w:t>原文链接：https://www.zjwx.gov.cn/col/col1673580/</w:t>
      </w:r>
    </w:p>
    <w:p>
      <w:pPr>
        <w:ind w:left="240"/>
      </w:pPr>
      <w:r>
        <w:t>提升全民数字素养，适应数字化转型需求</w:t>
      </w:r>
    </w:p>
    <w:p>
      <w:pPr>
        <w:spacing w:before="0" w:after="80"/>
        <w:pBdr>
          <w:bottom w:val="single" w:sz="4" w:space="1" w:color="DDDDDD"/>
        </w:pBdr>
      </w:pPr>
    </w:p>
    <w:p>
      <w:r>
        <w:rPr>
          <w:b/>
          <w:sz w:val="24"/>
        </w:rPr>
        <w:t>《国家互联网信息办公室关于发布第二十三批境内区块链信息服务备案编号的公告》</w:t>
      </w:r>
    </w:p>
    <w:p>
      <w:r>
        <w:rPr>
          <w:color w:val="646464"/>
          <w:sz w:val="20"/>
        </w:rPr>
        <w:t>文　　号：暂无</w:t>
        <w:br/>
        <w:t>发文机关：国家互联网信息办公室</w:t>
        <w:br/>
        <w:t>发文日期：2026-05-12</w:t>
        <w:br/>
        <w:t>原文链接：https://www.cac.gov.cn/wxzw/wxfb/A093702index_1.htm</w:t>
      </w:r>
    </w:p>
    <w:p>
      <w:pPr>
        <w:ind w:left="240"/>
      </w:pPr>
      <w:r>
        <w:t>持续规范区块链信息服务，发布新一批备案名单</w:t>
      </w:r>
    </w:p>
    <w:p>
      <w:pPr>
        <w:spacing w:before="0" w:after="80"/>
        <w:pBdr>
          <w:bottom w:val="single" w:sz="4" w:space="1" w:color="DDDDDD"/>
        </w:pBdr>
      </w:pPr>
    </w:p>
    <w:p>
      <w:r>
        <w:rPr>
          <w:b/>
          <w:sz w:val="24"/>
        </w:rPr>
        <w:t>《上海印发数据出境负面清单管理办法及2025版清单》</w:t>
      </w:r>
    </w:p>
    <w:p>
      <w:r>
        <w:rPr>
          <w:color w:val="646464"/>
          <w:sz w:val="20"/>
        </w:rPr>
        <w:t>文　　号：暂无</w:t>
        <w:br/>
        <w:t>发文机关：上海市网信办、上海市数据局</w:t>
        <w:br/>
        <w:t>发文日期：2026-04-30</w:t>
        <w:br/>
        <w:t>原文链接：https://mp.weixin.qq.com/s?__biz=MzA3MzM5MDkzMQ==&amp;mid=2650515230&amp;idx=3&amp;sn=72bb62665efe17f01c4b3511193da48e&amp;chksm=860a3300606bbde7aad375773434cd56c6058bda56e57c826e18603fc084a8bb59b3ab06d91d&amp;scene=27</w:t>
      </w:r>
    </w:p>
    <w:p>
      <w:pPr>
        <w:ind w:left="240"/>
      </w:pPr>
      <w:r>
        <w:t>上海自贸区及临港新片区数据出境负面清单管理细则</w:t>
      </w:r>
    </w:p>
    <w:p>
      <w:pPr>
        <w:spacing w:before="0" w:after="80"/>
        <w:pBdr>
          <w:bottom w:val="single" w:sz="4" w:space="1" w:color="DDDDDD"/>
        </w:pBdr>
      </w:pP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部署信息技术标准化工作，推动数字技术标准体系建设</w:t>
      </w:r>
    </w:p>
    <w:p>
      <w:pPr>
        <w:spacing w:before="0" w:after="80"/>
        <w:pBdr>
          <w:bottom w:val="single" w:sz="4" w:space="1" w:color="DDDDDD"/>
        </w:pBdr>
      </w:pPr>
    </w:p>
    <w:p>
      <w:r>
        <w:rPr>
          <w:b/>
          <w:sz w:val="24"/>
        </w:rPr>
        <w:t>《关于发布生成式人工智能服务已备案信息的公告（2026年3月至4月）》</w:t>
      </w:r>
    </w:p>
    <w:p>
      <w:r>
        <w:rPr>
          <w:color w:val="646464"/>
          <w:sz w:val="20"/>
        </w:rPr>
        <w:t>文　　号：暂无</w:t>
        <w:br/>
        <w:t>发文机关：国家互联网信息办公室</w:t>
        <w:br/>
        <w:t>发文日期：2026-05-13</w:t>
        <w:br/>
        <w:t>原文链接：https://www.cac.gov.cn/wxzw/wxfb/A093702index_1.htm</w:t>
      </w:r>
    </w:p>
    <w:p>
      <w:pPr>
        <w:ind w:left="240"/>
      </w:pPr>
      <w:r>
        <w:t>公布新一批生成式AI服务备案信息，强化合规监管</w:t>
      </w:r>
    </w:p>
    <w:p>
      <w:pPr>
        <w:spacing w:before="0" w:after="80"/>
        <w:pBdr>
          <w:bottom w:val="single" w:sz="4" w:space="1" w:color="DDDDDD"/>
        </w:pBdr>
      </w:pPr>
    </w:p>
    <w:p>
      <w:r>
        <w:rPr>
          <w:b/>
          <w:sz w:val="24"/>
        </w:rPr>
        <w:t>《2026年数字经济发展工作要点》</w:t>
      </w:r>
    </w:p>
    <w:p>
      <w:r>
        <w:rPr>
          <w:color w:val="646464"/>
          <w:sz w:val="20"/>
        </w:rPr>
        <w:t>文　　号：暂无</w:t>
        <w:br/>
        <w:t>发文机关：国家发展改革委</w:t>
        <w:br/>
        <w:t>发文日期：2026-05-21</w:t>
      </w:r>
    </w:p>
    <w:p>
      <w:pPr>
        <w:ind w:left="240"/>
      </w:pPr>
      <w:r>
        <w:t>部署数据要素改革、算力网建设、AI赋能等年度重点任务</w:t>
      </w:r>
    </w:p>
    <w:p>
      <w:pPr>
        <w:spacing w:before="0" w:after="80"/>
        <w:pBdr>
          <w:bottom w:val="single" w:sz="4" w:space="1" w:color="DDDDDD"/>
        </w:pBdr>
      </w:pP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调研数据要素市场化改革进展，推动制度落地</w:t>
      </w:r>
    </w:p>
    <w:p>
      <w:pPr>
        <w:spacing w:before="0" w:after="80"/>
        <w:pBdr>
          <w:bottom w:val="single" w:sz="4" w:space="1" w:color="DDDDDD"/>
        </w:pBdr>
      </w:pPr>
    </w:p>
    <w:p>
      <w:r>
        <w:rPr>
          <w:b/>
          <w:sz w:val="24"/>
        </w:rPr>
        <w:t>《数智济南建设2026年工作要点》</w:t>
      </w:r>
    </w:p>
    <w:p>
      <w:r>
        <w:rPr>
          <w:color w:val="646464"/>
          <w:sz w:val="20"/>
        </w:rPr>
        <w:t>文　　号：暂无</w:t>
        <w:br/>
        <w:t>发文机关：数字济南建设领导小组办公室</w:t>
        <w:br/>
        <w:t>发文日期：2026-04-01</w:t>
        <w:br/>
        <w:t>原文链接：https://jndsj.jinan.gov.cn/col/col38874/art/2026/art_e10988a1f1674ccf9a7355df79502839.html?type=FUaRhQW7Lo9974tywtQmQ</w:t>
      </w:r>
    </w:p>
    <w:p>
      <w:pPr>
        <w:ind w:left="240"/>
      </w:pPr>
      <w:r>
        <w:t>以AI+和数据要素×双轮驱动，打造全国一流数智城市</w:t>
      </w:r>
    </w:p>
    <w:p>
      <w:pPr>
        <w:spacing w:before="0" w:after="80"/>
        <w:pBdr>
          <w:bottom w:val="single" w:sz="4" w:space="1" w:color="DDDDDD"/>
        </w:pBdr>
      </w:pPr>
    </w:p>
    <w:p>
      <w:r>
        <w:rPr>
          <w:b/>
          <w:sz w:val="24"/>
        </w:rPr>
        <w:t>《上海市2026年制造业智能化发展项目申报通知》</w:t>
      </w:r>
    </w:p>
    <w:p>
      <w:r>
        <w:rPr>
          <w:color w:val="646464"/>
          <w:sz w:val="20"/>
        </w:rPr>
        <w:t>文　　号：暂无</w:t>
        <w:br/>
        <w:t>发文机关：上海市经济和信息化委员会</w:t>
        <w:br/>
        <w:t>发文日期：2026-01-12</w:t>
        <w:br/>
        <w:t>原文链接：https://www.sheitc.sh.gov.cn/cyfz/20260112/11e3168ff89a4eeea2b1afd193c19418.html</w:t>
      </w:r>
    </w:p>
    <w:p>
      <w:pPr>
        <w:ind w:left="240"/>
      </w:pPr>
      <w:r>
        <w:t>支持工业互联网平台智能化升级，推动AI与制造业融合</w:t>
      </w:r>
    </w:p>
    <w:p>
      <w:pPr>
        <w:spacing w:before="0" w:after="80"/>
        <w:pBdr>
          <w:bottom w:val="single" w:sz="4" w:space="1" w:color="DDDDDD"/>
        </w:pBdr>
      </w:pPr>
    </w:p>
    <w:p/>
    <w:p>
      <w:pPr>
        <w:pStyle w:val="Heading1"/>
      </w:pPr>
      <w:r>
        <w:rPr>
          <w:color w:val="5B6DE4"/>
          <w:sz w:val="28"/>
        </w:rPr>
        <w:t>三、今年以来主要政策</w:t>
      </w:r>
    </w:p>
    <w:p>
      <w:r>
        <w:rPr>
          <w:b/>
          <w:sz w:val="24"/>
        </w:rPr>
        <w:t>《工业互联网和人工智能融合赋能行动方案》</w:t>
      </w:r>
    </w:p>
    <w:p>
      <w:r>
        <w:rPr>
          <w:color w:val="646464"/>
          <w:sz w:val="20"/>
        </w:rPr>
        <w:t>文　　号：暂无</w:t>
        <w:br/>
        <w:t>发文机关：工业和信息化部</w:t>
        <w:br/>
        <w:t>发文日期：2026-01-01</w:t>
      </w:r>
    </w:p>
    <w:p>
      <w:pPr>
        <w:ind w:left="240"/>
      </w:pPr>
      <w:r>
        <w:t>推动工业互联网与AI融合，实施四大行动</w:t>
      </w:r>
    </w:p>
    <w:p>
      <w:pPr>
        <w:spacing w:before="0" w:after="80"/>
        <w:pBdr>
          <w:bottom w:val="single" w:sz="4" w:space="1" w:color="DDDDDD"/>
        </w:pBdr>
      </w:pPr>
    </w:p>
    <w:p>
      <w:r>
        <w:rPr>
          <w:b/>
          <w:sz w:val="24"/>
        </w:rPr>
        <w:t>《推动工业互联网平台高质量发展行动方案（2026—2028年）》</w:t>
      </w:r>
    </w:p>
    <w:p>
      <w:r>
        <w:rPr>
          <w:color w:val="646464"/>
          <w:sz w:val="20"/>
        </w:rPr>
        <w:t>文　　号：暂无</w:t>
        <w:br/>
        <w:t>发文机关：工业和信息化部</w:t>
        <w:br/>
        <w:t>发文日期：2026-01-13</w:t>
        <w:br/>
        <w:t>原文链接：https://www.miit.gov.cn/jgsj/xxjsfzs/gzdt/art/2026/art_926b6c211725491ca89ca218379405e1.html</w:t>
      </w:r>
    </w:p>
    <w:p>
      <w:pPr>
        <w:ind w:left="240"/>
      </w:pPr>
      <w:r>
        <w:t>明确工业互联网平台高质量发展路径与目标</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智能体治理从概念走向制度化。2026年5月8日，国家网信办、发改委、工信部联合发布《智能体规范应用与创新发展实施意见》，这是全球首个针对AI智能体的系统性治理文件。政策意图在于平衡创新与风险，通过分类分级管理、备案制等手段，为智能体商业化划定红线。预计后续将出台配套技术标准与测试认证体系，智能体应用将进入合规化快车道，企业需提前布局治理架构。</w:t>
      </w:r>
    </w:p>
    <w:p>
      <w:r>
        <w:rPr>
          <w:b/>
          <w:color w:val="5B6DE4"/>
        </w:rPr>
        <w:t xml:space="preserve">②  </w:t>
      </w:r>
      <w:r>
        <w:t>趋势2：数据要素市场化改革进入深水区。国家数据局局长刘烈宏6月赴温州、深圳、东莞调研，释放加速制度落地的信号。结合《2026年数字经济发展工作要点》提出的“建立全国统一数据产权登记制度”，政策重心正从宏观框架转向操作细则，如公共数据授权运营定价、数据跨境负面清单等。下一步，数据交易所互联互通、数据资产入表等配套政策有望密集出台，但数据权属争议仍是最大堵点。</w:t>
      </w:r>
    </w:p>
    <w:p>
      <w:r>
        <w:rPr>
          <w:b/>
          <w:color w:val="5B6DE4"/>
        </w:rPr>
        <w:t xml:space="preserve">③  </w:t>
      </w:r>
      <w:r>
        <w:t>趋势3：算力基础设施布局从“规模扩张”转向“协同高效”。天津、山西等地方案均强调“通用算力、智能算力、超级算力一体化布局”，全国一体化算力网建设写入年度工作要点。政策逻辑在于：大模型训练推高智算需求，但区域算力供需失衡、能耗压力加剧。预计国家将出台算力调度与碳效挂钩的激励政策，推动东数西算从“建枢纽”向“用枢纽”升级，西部数据中心利用率将成关键考核指标。</w:t>
      </w:r>
    </w:p>
    <w:p>
      <w:r>
        <w:rPr>
          <w:b/>
          <w:color w:val="5B6DE4"/>
        </w:rPr>
        <w:t xml:space="preserve">④  </w:t>
      </w:r>
      <w:r>
        <w:t>趋势4：AI赋能制造业从试点示范转向规模化推广。广东、上海等地2026年项目申报明确聚焦“AI赋能新型工业化”，支持工业互联网平台提供模型训练、智能体开发等专业服务。政策意图是打通AI落地“最后一公里”，解决中小企业“不敢转、不会转”难题。预计工信部将推出“AI+制造业”标杆遴选与资金补贴联动机制，但需警惕数据孤岛和标准碎片化对规模化复制的制约。</w:t>
      </w:r>
    </w:p>
    <w:p>
      <w:r>
        <w:rPr>
          <w:b/>
          <w:color w:val="5B6DE4"/>
        </w:rPr>
        <w:t xml:space="preserve">⑤  </w:t>
      </w:r>
      <w:r>
        <w:t>趋势5：数据跨境治理进入“负面清单+场景化”新阶段。上海率先发布数据出境负面清单管理办法，与《汽车数据出境安全指引》形成呼应，体现“管住核心、放开一般”的监管思路。政策逻辑是：在保障国家安全前提下，为自贸区、汽车等特定场景提供可预期的合规路径。预计更多省市将跟进出台地方版负面清单，但企业需注意不同清单间的衔接问题，避免合规成本叠加。</w:t>
      </w:r>
    </w:p>
    <w:p>
      <w:r>
        <w:rPr>
          <w:b/>
          <w:color w:val="5B6DE4"/>
        </w:rPr>
        <w:t xml:space="preserve">⑥  </w:t>
      </w:r>
      <w:r>
        <w:t>趋势6（国际比较）：中国AI治理路径与欧盟形成鲜明对照。中国《智能体规范应用与创新发展实施意见》采取“发展优先、分级监管”思路，强调备案制与行业自律；而欧盟《AI法案》2026年全面实施，采用风险分级与事前认证，罚款力度更严。美国则通过行政令推动联邦机构AI应用指南，侧重安全测试与透明度。中国路径更利于产业快速迭代，但需防范监管滞后带来的风险事件；欧盟模式合规成本高，但可能建立全球信任优势。三方博弈下，跨国企业需构建“一国一策”的合规体系。</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