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生成日期：2026-09-06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《国家信息化发展报告(2025年)》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原文链接：https://www.cac.gov.cn/wxzw/wxfb/A093702index_1.htm</w:t>
      </w:r>
    </w:p>
    <w:p>
      <w:pPr>
        <w:ind w:left="240"/>
      </w:pPr>
      <w:r>
        <w:t>总结2025年国家信息化发展成效，研判未来趋势与重点方向。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为小型处理者提供个保合规简化路径，减轻中小微企业负担。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《网络数据安全管理条例》</w:t>
      </w:r>
    </w:p>
    <w:p>
      <w:r>
        <w:rPr>
          <w:color w:val="646464"/>
          <w:sz w:val="20"/>
        </w:rPr>
        <w:t>文　　号：国务院令第790号</w:t>
        <w:br/>
        <w:t>发文机关：国务院</w:t>
        <w:br/>
        <w:t>发文日期：2026-01-01</w:t>
      </w:r>
    </w:p>
    <w:p>
      <w:pPr>
        <w:ind w:left="240"/>
      </w:pPr>
      <w:r>
        <w:t>规范网络数据处理活动，保障数据安全，促进数据依法合理有效利用。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《关于深入实施“东数西算”工程加快构建全国一体化算力网的实施意见》</w:t>
      </w:r>
    </w:p>
    <w:p>
      <w:r>
        <w:rPr>
          <w:color w:val="646464"/>
          <w:sz w:val="20"/>
        </w:rPr>
        <w:t>文　　号：发改数据〔2026〕1号</w:t>
        <w:br/>
        <w:t>发文机关：国家发展改革委、国家数据局等</w:t>
        <w:br/>
        <w:t>发文日期：2026-01-06</w:t>
      </w:r>
    </w:p>
    <w:p>
      <w:pPr>
        <w:ind w:left="240"/>
      </w:pPr>
      <w:r>
        <w:t>加快构建全国一体化算力网，优化算力资源配置，推动算力绿色低碳发展。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《人工智能生成合成内容标识办法》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发文日期：2026-03-01</w:t>
      </w:r>
    </w:p>
    <w:p>
      <w:pPr>
        <w:ind w:left="240"/>
      </w:pPr>
      <w:r>
        <w:t>要求对AI生成合成内容添加显式及隐式标识，防范深度伪造风险。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《广东省关于加快人工智能产业发展的若干政策措施》</w:t>
      </w:r>
    </w:p>
    <w:p>
      <w:r>
        <w:rPr>
          <w:color w:val="646464"/>
          <w:sz w:val="20"/>
        </w:rPr>
        <w:t>文　　号：粤府〔2026〕15号</w:t>
        <w:br/>
        <w:t>发文机关：广东省人民政府</w:t>
        <w:br/>
        <w:t>发文日期：2026-03-15</w:t>
      </w:r>
    </w:p>
    <w:p>
      <w:pPr>
        <w:ind w:left="240"/>
      </w:pPr>
      <w:r>
        <w:t>提出算力供给、数据开放、场景应用等举措，打造全球AI产业高地。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《上海市促进人工智能产业发展条例》</w:t>
      </w:r>
    </w:p>
    <w:p>
      <w:r>
        <w:rPr>
          <w:color w:val="646464"/>
          <w:sz w:val="20"/>
        </w:rPr>
        <w:t>文　　号：上海市人大常委会公告第XX号</w:t>
        <w:br/>
        <w:t>发文机关：上海市人大常委会</w:t>
        <w:br/>
        <w:t>发文日期：2026-04-01</w:t>
      </w:r>
    </w:p>
    <w:p>
      <w:pPr>
        <w:ind w:left="240"/>
      </w:pPr>
      <w:r>
        <w:t>地方立法支持AI产业发展，明确算力、算法、数据等要素保障机制。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《江苏省制造业智能化改造和数字化转型三年行动计划(2026-2028年)》</w:t>
      </w:r>
    </w:p>
    <w:p>
      <w:r>
        <w:rPr>
          <w:color w:val="646464"/>
          <w:sz w:val="20"/>
        </w:rPr>
        <w:t>文　　号：苏政办发〔2026〕20号</w:t>
        <w:br/>
        <w:t>发文机关：江苏省人民政府办公厅</w:t>
        <w:br/>
        <w:t>发文日期：2026-04-20</w:t>
      </w:r>
    </w:p>
    <w:p>
      <w:pPr>
        <w:ind w:left="240"/>
      </w:pPr>
      <w:r>
        <w:t>推动规上工业企业智能化改造全覆盖，加快工业互联网规模化应用。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《浙江省公共数据授权运营管理办法(试行)》</w:t>
      </w:r>
    </w:p>
    <w:p>
      <w:r>
        <w:rPr>
          <w:color w:val="646464"/>
          <w:sz w:val="20"/>
        </w:rPr>
        <w:t>文　　号：浙政办发〔2026〕25号</w:t>
        <w:br/>
        <w:t>发文机关：浙江省人民政府办公厅</w:t>
        <w:br/>
        <w:t>发文日期：2026-05-10</w:t>
      </w:r>
    </w:p>
    <w:p>
      <w:pPr>
        <w:ind w:left="240"/>
      </w:pPr>
      <w:r>
        <w:t>规范公共数据授权运营，探索数据要素价值释放的浙江路径。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《辽宁省数字辽宁建设2026年工作要点》</w:t>
      </w:r>
    </w:p>
    <w:p>
      <w:r>
        <w:rPr>
          <w:color w:val="646464"/>
          <w:sz w:val="20"/>
        </w:rPr>
        <w:t>文　　号：暂无</w:t>
        <w:br/>
        <w:t>发文机关：辽宁省人民政府</w:t>
        <w:br/>
        <w:t>发文日期：2026-05-20</w:t>
      </w:r>
    </w:p>
    <w:p>
      <w:pPr>
        <w:ind w:left="240"/>
      </w:pPr>
      <w:r>
        <w:t>部署数字基础设施、数字经济核心产业等年度重点任务。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《欧盟人工智能法案》</w:t>
      </w:r>
    </w:p>
    <w:p>
      <w:r>
        <w:rPr>
          <w:color w:val="646464"/>
          <w:sz w:val="20"/>
        </w:rPr>
        <w:t>文　　号：Regulation (EU) 2024/1689</w:t>
        <w:br/>
        <w:t>发文机关：欧洲议会与欧盟理事会</w:t>
        <w:br/>
        <w:t>发文日期：2026-08-01</w:t>
      </w:r>
    </w:p>
    <w:p>
      <w:pPr>
        <w:ind w:left="240"/>
      </w:pPr>
      <w:r>
        <w:t>全球首部全面AI监管法案分阶段适用，高风险AI系统义务正式生效。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《美国关于安全、可靠、可信赖地开发和使用人工智能的行政命令后续实施规则》</w:t>
      </w:r>
    </w:p>
    <w:p>
      <w:r>
        <w:rPr>
          <w:color w:val="646464"/>
          <w:sz w:val="20"/>
        </w:rPr>
        <w:t>文　　号：暂无</w:t>
        <w:br/>
        <w:t>发文机关：白宫科技政策办公室(OSTP)、NIST</w:t>
        <w:br/>
        <w:t>发文日期：2026-06-15</w:t>
      </w:r>
    </w:p>
    <w:p>
      <w:pPr>
        <w:ind w:left="240"/>
      </w:pPr>
      <w:r>
        <w:t>联邦机构落实AI行政令要求，NIST发布AI风险管理框架更新版。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《日本AI相关技术研发与利用促进法案》</w:t>
      </w:r>
    </w:p>
    <w:p>
      <w:r>
        <w:rPr>
          <w:color w:val="646464"/>
          <w:sz w:val="20"/>
        </w:rPr>
        <w:t>文　　号：法律第XX号</w:t>
        <w:br/>
        <w:t>发文机关：日本国会</w:t>
        <w:br/>
        <w:t>发文日期：2026-05-20</w:t>
      </w:r>
    </w:p>
    <w:p>
      <w:pPr>
        <w:ind w:left="240"/>
      </w:pPr>
      <w:r>
        <w:t>确立AI技术研发与利用的基本理念与推进体制，侧重产业促进。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网信办发布《促进网信企业高质量发展行动计划(2026-2030年)》，首次以五年行动计划形式系统部署网信企业梯度培育。该文件将网信企业从单一监管对象转向发展促进对象，标志监管思路从底线约束转向底线与高线并重。预计后续将配套出台税收优惠、政府采购、上市融资等细化支持政策，网信领域将形成大中小企业融通发展的新格局。</w:t>
      </w:r>
    </w:p>
    <w:p>
      <w:r>
        <w:rPr>
          <w:b/>
          <w:color w:val="5B6DE4"/>
        </w:rPr>
        <w:t xml:space="preserve">②  </w:t>
      </w:r>
      <w:r>
        <w:t>趋势2：《小型个人信息处理者个人信息保护简化措施规定》的出台，是《个人信息保护法》实施后差异化监管的实质性落地。针对员工人数少、处理个人信息规模小的企业，规定简化了告知同意、跨境提供等合规义务，体现监管的精准性与包容性。这一制度创新有望向数据出境、算法备案等更多领域推广，形成分层分类的监管体系。</w:t>
      </w:r>
    </w:p>
    <w:p>
      <w:r>
        <w:rPr>
          <w:b/>
          <w:color w:val="5B6DE4"/>
        </w:rPr>
        <w:t xml:space="preserve">③  </w:t>
      </w:r>
      <w:r>
        <w:t>趋势3：国家信息化发展报告(2025年)的发布，正值'十五五'规划编制前期。报告不仅是对过去一年信息化建设的复盘，更为未来五年信息化发展定调。值得关注的是，报告将数据要素市场、算力基础设施、数字政府建设并列为核心议题，预示着'十五五'期间信息化政策将更强调数据、算力、算法的一体化推进。</w:t>
      </w:r>
    </w:p>
    <w:p>
      <w:r>
        <w:rPr>
          <w:b/>
          <w:color w:val="5B6DE4"/>
        </w:rPr>
        <w:t xml:space="preserve">④  </w:t>
      </w:r>
      <w:r>
        <w:t>趋势4：从地方实践看，广东、上海、浙江、江苏等数字经济领先省份在2026年上半年密集出台AI产业促进政策，与中央层面的监管规范形成'中央定规则、地方促发展'的格局。广东强调算力供给与场景开放，上海侧重立法保障，浙江聚焦公共数据授权运营，辽宁则着力于数字基础设施补短板。这种区域梯度发展格局将导致AI产业进一步向优势地区集聚，欠发达地区的算力消纳与产业承接问题将更加突出。</w:t>
      </w:r>
    </w:p>
    <w:p>
      <w:r>
        <w:rPr>
          <w:b/>
          <w:color w:val="5B6DE4"/>
        </w:rPr>
        <w:t xml:space="preserve">⑤  </w:t>
      </w:r>
      <w:r>
        <w:t>趋势5：数据安全与发展的平衡仍是政策核心张力。国务院《网络数据安全管理条例》与网信办AI内容标识办法相继施行，叠加数据出境安全评估、个人信息保护合规审计等制度，企业数据合规成本显著上升。与此同时，各地数据交易所交易规模增长不及预期，数据要素市场化的'最后一公里'尚未打通。预计下半年将出台数据资产入表、数据知识产权登记等配套细则，以增强数据流通的内生激励。</w:t>
      </w:r>
    </w:p>
    <w:p>
      <w:r>
        <w:rPr>
          <w:b/>
          <w:color w:val="5B6DE4"/>
        </w:rPr>
        <w:t xml:space="preserve">⑥  </w:t>
      </w:r>
      <w:r>
        <w:t>趋势6：国际比较来看，欧盟AI法案于2026年8月进入高风险AI系统适用阶段，美国通过行政命令+NIST风险管理框架推动行业自律，日本则选择产业促进型立法路径，而中国采取'监管框架+产业政策'双轮驱动模式。四地比较可见：欧盟侧重权利保护，规则最严但可能抑制创新；美国强调创新优先，监管碎片化；日本以促进行业应用为核心，监管最轻；中国在安全与创新间寻求动态平衡。对中国而言，如何在AI监管规则上与国际接轨的同时保持制度竞争力，是参与全球AI治理的关键挑战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