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生成日期：2026-10-11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《促进数字化绿色化协同转型发展实施方案（2026-2030年）》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发文日期：2026-09-04</w:t>
        <w:br/>
        <w:t>原文链接：https://www.cac.gov.cn/wxzw/zcfg/zcwj/A09370306index_1.htm</w:t>
      </w:r>
    </w:p>
    <w:p>
      <w:pPr>
        <w:ind w:left="240"/>
      </w:pPr>
      <w:r>
        <w:t>部署未来五年数字化与绿色化协同转型，明确重点任务与保障措施。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《人工智能条例（送审稿）》</w:t>
      </w:r>
    </w:p>
    <w:p>
      <w:r>
        <w:rPr>
          <w:color w:val="646464"/>
          <w:sz w:val="20"/>
        </w:rPr>
        <w:t>文　　号：暂无</w:t>
        <w:br/>
        <w:t>发文机关：广东省司法厅</w:t>
        <w:br/>
        <w:t>发文日期：2026-08-28</w:t>
        <w:br/>
        <w:t>原文链接：http://sft.gd.gov.cn/hdjlpt/yjzj/answer/52457</w:t>
      </w:r>
    </w:p>
    <w:p>
      <w:pPr>
        <w:ind w:left="240"/>
      </w:pPr>
      <w:r>
        <w:t>广东拟立法促进人工智能技术创新，支持智能算力与算法模型研发。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《深化互联网协议第六版（IPv6）技术创新和融合应用实施方案（2026—2030年）》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发文日期：2026-07-21</w:t>
        <w:br/>
        <w:t>原文链接：https://www.cac.gov.cn/wxzw/zcfg/zcwj/A09370306index_1.htm</w:t>
      </w:r>
    </w:p>
    <w:p>
      <w:pPr>
        <w:ind w:left="240"/>
      </w:pPr>
      <w:r>
        <w:t>推进IPv6技术创新与融合应用，明确五年发展路径。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</w:r>
    </w:p>
    <w:p>
      <w:pPr>
        <w:ind w:left="240"/>
      </w:pPr>
      <w:r>
        <w:t>四部门联合发文，推动互联网基础资源高质量发展。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原文链接：https://www.cac.gov.cn/wxzw/sjzl/A093708index_1.htm</w:t>
      </w:r>
    </w:p>
    <w:p>
      <w:pPr>
        <w:ind w:left="240"/>
      </w:pPr>
      <w:r>
        <w:t>拟对大型个人信息处理者设定专门保护义务，公开征求意见。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《汽车数据出境安全指引（2026版）》</w:t>
      </w:r>
    </w:p>
    <w:p>
      <w:r>
        <w:rPr>
          <w:color w:val="646464"/>
          <w:sz w:val="20"/>
        </w:rPr>
        <w:t>文　　号：暂无</w:t>
        <w:br/>
        <w:t>发文机关：工业和信息化部等八部门</w:t>
        <w:br/>
        <w:t>发文日期：2026-02-03</w:t>
        <w:br/>
        <w:t>原文链接：https://www.miit.gov.cn/gyhxxhb/jgsj/wlaqglj/zcjd/index.html</w:t>
      </w:r>
    </w:p>
    <w:p>
      <w:pPr>
        <w:ind w:left="240"/>
      </w:pPr>
      <w:r>
        <w:t>明确汽车数据出境安全评估要求，规范跨境数据流动。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《2026年广西数据管理和政务信息化工作要点》</w:t>
      </w:r>
    </w:p>
    <w:p>
      <w:r>
        <w:rPr>
          <w:color w:val="646464"/>
          <w:sz w:val="20"/>
        </w:rPr>
        <w:t>文　　号：暂无</w:t>
        <w:br/>
        <w:t>发文机关：广西壮族自治区大数据发展局</w:t>
        <w:br/>
        <w:t>发文日期：2026-03-26</w:t>
      </w:r>
    </w:p>
    <w:p>
      <w:pPr>
        <w:ind w:left="240"/>
      </w:pPr>
      <w:r>
        <w:t>部署广西数据管理与政务信息化，推进中国—东盟AI安全合作。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《天津市算力产业发展实施方案（2024—2026年）》</w:t>
      </w:r>
    </w:p>
    <w:p>
      <w:r>
        <w:rPr>
          <w:color w:val="646464"/>
          <w:sz w:val="20"/>
        </w:rPr>
        <w:t>文　　号：暂无</w:t>
        <w:br/>
        <w:t>发文机关：天津市工业和信息化局</w:t>
        <w:br/>
        <w:t>发文日期：2024-07-22</w:t>
        <w:br/>
        <w:t>原文链接：https://gyxxh.tj.gov.cn/ZWGK4147/ZCWJ6355/sjwj/202407/t20240722_6681036.html</w:t>
      </w:r>
    </w:p>
    <w:p>
      <w:pPr>
        <w:ind w:left="240"/>
      </w:pPr>
      <w:r>
        <w:t>统筹通用、智能、超级算力布局，打造京津冀算力高地。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</w:r>
    </w:p>
    <w:p>
      <w:pPr>
        <w:ind w:left="240"/>
      </w:pPr>
      <w:r>
        <w:t>四部门联合发文，推动互联网基础资源高质量发展。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《汽车数据出境安全指引（2026版）》</w:t>
      </w:r>
    </w:p>
    <w:p>
      <w:r>
        <w:rPr>
          <w:color w:val="646464"/>
          <w:sz w:val="20"/>
        </w:rPr>
        <w:t>文　　号：暂无</w:t>
        <w:br/>
        <w:t>发文机关：工业和信息化部等八部门</w:t>
        <w:br/>
        <w:t>发文日期：2026-02-03</w:t>
      </w:r>
    </w:p>
    <w:p>
      <w:pPr>
        <w:ind w:left="240"/>
      </w:pPr>
      <w:r>
        <w:t>明确汽车数据出境安全评估要求，规范跨境数据流动。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《2026年广西数据管理和政务信息化工作要点》</w:t>
      </w:r>
    </w:p>
    <w:p>
      <w:r>
        <w:rPr>
          <w:color w:val="646464"/>
          <w:sz w:val="20"/>
        </w:rPr>
        <w:t>文　　号：暂无</w:t>
        <w:br/>
        <w:t>发文机关：广西壮族自治区大数据发展局</w:t>
        <w:br/>
        <w:t>发文日期：2026-03-26</w:t>
      </w:r>
    </w:p>
    <w:p>
      <w:pPr>
        <w:ind w:left="240"/>
      </w:pPr>
      <w:r>
        <w:t>部署广西数据管理与政务信息化，推进中国—东盟AI安全合作。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《省发展改革委关于省政协十三届三次会议第678号提案的答复》</w:t>
      </w:r>
    </w:p>
    <w:p>
      <w:r>
        <w:rPr>
          <w:color w:val="646464"/>
          <w:sz w:val="20"/>
        </w:rPr>
        <w:t>文　　号：暂无</w:t>
        <w:br/>
        <w:t>发文机关：浙江省发展和改革委员会</w:t>
        <w:br/>
        <w:t>发文日期：2026-06-25</w:t>
      </w:r>
    </w:p>
    <w:p>
      <w:pPr>
        <w:ind w:left="240"/>
      </w:pPr>
      <w:r>
        <w:t>支持之江人工智能公共算力平台建设万卡集群，提供普惠算力。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《数据出境安全管理政策法规问答（2026年7月）》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发文日期：2026-07-24</w:t>
        <w:br/>
        <w:t>原文链接：https://baike.baidu.com/item/%E6%95%B0%E6%8D%AE%E5%87%BA%E5%A2%83%E5%AE%89%E5%85%A8%E7%AE%A1%E7%90%86%E6%94%BF%E7%AD%96%E6%B3%95%E8%A7%84%E9%97%AE%E7%AD%94%282026%E5%B9%B47%E6%9C%88%29/69290060</w:t>
      </w:r>
    </w:p>
    <w:p>
      <w:pPr>
        <w:ind w:left="240"/>
      </w:pPr>
      <w:r>
        <w:t>以问答形式解读数据出境安全管理政策法规，指导合规实践。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原文链接：https://www.cac.gov.cn/wxzw/sjzl/A093708index_1.htm</w:t>
      </w:r>
    </w:p>
    <w:p>
      <w:pPr>
        <w:ind w:left="240"/>
      </w:pPr>
      <w:r>
        <w:t>拟对大型个人信息处理者设定专门保护义务，公开征求意见。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《促进数字化绿色化协同转型发展实施方案（2026-2030年）》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发文日期：2026-09-04</w:t>
        <w:br/>
        <w:t>原文链接：https://www.cac.gov.cn/wxzw/zcfg/zcwj/A09370306index_1.htm</w:t>
      </w:r>
    </w:p>
    <w:p>
      <w:pPr>
        <w:ind w:left="240"/>
      </w:pPr>
      <w:r>
        <w:t>部署未来五年数字化与绿色化协同转型，明确重点任务与保障措施。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《人工智能条例（送审稿）》</w:t>
      </w:r>
    </w:p>
    <w:p>
      <w:r>
        <w:rPr>
          <w:color w:val="646464"/>
          <w:sz w:val="20"/>
        </w:rPr>
        <w:t>文　　号：暂无</w:t>
        <w:br/>
        <w:t>发文机关：广东省司法厅</w:t>
        <w:br/>
        <w:t>发文日期：2026-08-28</w:t>
        <w:br/>
        <w:t>原文链接：http://sft.gd.gov.cn/hdjlpt/yjzj/answer/52457</w:t>
      </w:r>
    </w:p>
    <w:p>
      <w:pPr>
        <w:ind w:left="240"/>
      </w:pPr>
      <w:r>
        <w:t>广东拟立法促进人工智能技术创新，支持智能算力与算法模型研发。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网信办9月发布《促进数字化绿色化协同转型发展实施方案（2026-2030年）》，首次将数字化与绿色化协同作为五年专项部署。逻辑：算力扩张带来能耗压力，政策试图以绿色化约束数字化无序扩张，同时借数字化提升能源效率。研判：预计将出台算力中心PUE强制标准与绿电占比要求，企业需提前布局低碳算力。</w:t>
      </w:r>
    </w:p>
    <w:p>
      <w:r>
        <w:rPr>
          <w:b/>
          <w:color w:val="5B6DE4"/>
        </w:rPr>
        <w:t xml:space="preserve">②  </w:t>
      </w:r>
      <w:r>
        <w:t>现象：网信办8月发布《促进网信企业高质量发展行动计划（2026-2030年）》，明确网信企业创新与合规并重。逻辑：网信企业既是数字经济主力，也是数据安全风险集中点，政策意在平衡发展与安全。研判：合规能力将成为网信企业核心竞争力，中小平台面临更大合规成本压力。</w:t>
      </w:r>
    </w:p>
    <w:p>
      <w:r>
        <w:rPr>
          <w:b/>
          <w:color w:val="5B6DE4"/>
        </w:rPr>
        <w:t xml:space="preserve">③  </w:t>
      </w:r>
      <w:r>
        <w:t>现象：国家网信办8月就《大型个人信息处理者个人信息保护规定》征求意见，拟对大型平台设专门义务。逻辑：个人信息保护法实施后，大型平台合规差距仍大，需细化分级监管。研判：大型平台将面临更严审计与报告要求，可能推动行业并购整合。</w:t>
      </w:r>
    </w:p>
    <w:p>
      <w:r>
        <w:rPr>
          <w:b/>
          <w:color w:val="5B6DE4"/>
        </w:rPr>
        <w:t xml:space="preserve">④  </w:t>
      </w:r>
      <w:r>
        <w:t>现象：广东8月发布《人工智能条例（送审稿）》，支持智能算力、算法模型研发并设关键技术创新条款。逻辑：地方争抢AI产业高地，以立法促进创新同时防范风险。研判：地方AI立法将加速，但需警惕各地标准不一造成市场分割。</w:t>
      </w:r>
    </w:p>
    <w:p>
      <w:r>
        <w:rPr>
          <w:b/>
          <w:color w:val="5B6DE4"/>
        </w:rPr>
        <w:t xml:space="preserve">⑤  </w:t>
      </w:r>
      <w:r>
        <w:t>现象：浙江6月答复政协提案，支持之江人工智能公共算力平台建设万卡集群，提供普惠算力。逻辑：算力公共品属性增强，政府以公共平台降低中小企业创新门槛。研判：普惠算力将成地方标配，但需建立可持续运营与调度机制。</w:t>
      </w:r>
    </w:p>
    <w:p>
      <w:r>
        <w:rPr>
          <w:b/>
          <w:color w:val="5B6DE4"/>
        </w:rPr>
        <w:t xml:space="preserve">⑥  </w:t>
      </w:r>
      <w:r>
        <w:t>现象：中国以网信办统筹数据安全与AI治理，欧盟推进AI Act与GDPR协同，美国侧重NIST框架与行政令，日本由数字厅推动AI战略。逻辑：中国强调整体安全与公共算力普惠，欧美更重权利保护与市场驱动。研判：中国可借鉴欧盟风险分级思路，同时保持算力公共品优势，避免合规碎片化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