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生成日期：2026-06-05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国家数据局局长调研数据要素市场化配置改革，推动数据流通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部署信息技术标准化工作，涉及算力、数据等标准制定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《2026年全民数字素养与技能提升月启动》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发文日期：2026-05-22</w:t>
        <w:br/>
        <w:t>原文链接：https://www.cac.gov.cn/index.htm?id=11085dhmoi.html</w:t>
      </w:r>
    </w:p>
    <w:p>
      <w:pPr>
        <w:ind w:left="240"/>
      </w:pPr>
      <w:r>
        <w:t>提升全民数字素养，推动数字技能普及与信息化应用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《中央网信办、国家铁路局联合约谈7家涉火车票销售第三方平台》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发文日期：2026-06-05</w:t>
        <w:br/>
        <w:t>原文链接：https://www.cac.gov.cn/index.htm?id=11085dhmoi.html</w:t>
      </w:r>
    </w:p>
    <w:p>
      <w:pPr>
        <w:ind w:left="240"/>
      </w:pPr>
      <w:r>
        <w:t>约谈平台加强数据安全与个人信息保护，规范票务市场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《国家数据局印发2026年数字经济发展工作要点》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原文链接：http://www.szlhq.gov.cn/bmxxgk/zwfwj/dtxx_124513/gzdt_124514/content/post_12804699.html</w:t>
      </w:r>
    </w:p>
    <w:p>
      <w:pPr>
        <w:ind w:left="240"/>
      </w:pPr>
      <w:r>
        <w:t>加快建设全国一体化算力网，强化数据赋能人工智能发展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原文链接：https://www.cac.gov.cn/wxzw/zcfg/A093703index_1.htm?pageId=0&amp;wfwfid=7967</w:t>
      </w:r>
    </w:p>
    <w:p>
      <w:pPr>
        <w:ind w:left="240"/>
      </w:pPr>
      <w:r>
        <w:t>规范智能体发展，推动人工智能与治理体系协同创新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《专家解读|把握智能体发展机遇，加快构建智能体治理体系》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原文链接：https://www.cac.gov.cn/wxzw/zcfg/A093703index_1.htm?pageId=0&amp;wfwfid=7967</w:t>
      </w:r>
    </w:p>
    <w:p>
      <w:pPr>
        <w:ind w:left="240"/>
      </w:pPr>
      <w:r>
        <w:t>解读智能体治理，强调发展与安全并重，完善监管框架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专题研究数字中国建设，推动数据要素与数字经济协同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《刘烈宏出席数据安全发展大会开幕式并启动2026年数据要素×大赛》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强调数据安全与要素流通并重，启动大赛激发创新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《2026年中国网络文明大会在南宁举行》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发文日期：2026-05-19</w:t>
        <w:br/>
        <w:t>原文链接：https://www.zjwx.gov.cn/col/col1673580/</w:t>
      </w:r>
    </w:p>
    <w:p>
      <w:pPr>
        <w:ind w:left="240"/>
      </w:pPr>
      <w:r>
        <w:t>聚焦网络文明建设，推动数字素养与网络安全协同发展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《广东省工业和信息化厅关于开展2026年支持推动人工智能赋能新型工业化标杆项目入库储备工作》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发文日期：2026-05-20</w:t>
        <w:br/>
        <w:t>原文链接：http://www.jiangmen.gov.cn/jmgxj/attachment/0/349/349704/3350943.pdf</w:t>
      </w:r>
    </w:p>
    <w:p>
      <w:pPr>
        <w:ind w:left="240"/>
      </w:pPr>
      <w:r>
        <w:t>推动人工智能赋能新型工业化，支持标杆项目入库储备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《上海市经济信息化委关于组织2026年上海市制造业智能化发展项目申报》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发文日期：2026-05-15</w:t>
        <w:br/>
        <w:t>原文链接：https://www.shanghai.gov.cn/gwk/search/content/11e3168ff89a4eeea2b1afd193c19418</w:t>
      </w:r>
    </w:p>
    <w:p>
      <w:pPr>
        <w:ind w:left="240"/>
      </w:pPr>
      <w:r>
        <w:t>组织制造业智能化项目，发挥人工智能与工业互联网赋能作用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发文日期：2026-04-30</w:t>
      </w:r>
    </w:p>
    <w:p>
      <w:pPr>
        <w:ind w:left="240"/>
      </w:pPr>
      <w:r>
        <w:t>启动数据要素×大赛，发挥数据乘数效应，赋能经济社会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《山西省推进数字经济全面发展实施方案（2026-2028年）》</w:t>
      </w:r>
    </w:p>
    <w:p>
      <w:r>
        <w:rPr>
          <w:color w:val="646464"/>
          <w:sz w:val="20"/>
        </w:rPr>
        <w:t>文　　号：暂无</w:t>
        <w:br/>
        <w:t>发文机关：山西省人民政府办公厅</w:t>
        <w:br/>
        <w:t>发文日期：2026-01-04</w:t>
      </w:r>
    </w:p>
    <w:p>
      <w:pPr>
        <w:ind w:left="240"/>
      </w:pPr>
      <w:r>
        <w:t>开展算力强基揭榜行动，建设高速数据传输网络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《推动工业互联网平台高质量发展行动方案（2026—2028年）》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发文日期：2026-01-15</w:t>
      </w:r>
    </w:p>
    <w:p>
      <w:pPr>
        <w:ind w:left="240"/>
      </w:pPr>
      <w:r>
        <w:t>部署平台培育、聚数提智、规模化应用、生态支撑四大行动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《欧盟人工智能法案（EU AI Act）正式生效》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发文日期：2026-01-01</w:t>
      </w:r>
    </w:p>
    <w:p>
      <w:pPr>
        <w:ind w:left="240"/>
      </w:pPr>
      <w:r>
        <w:t>全球首部全面AI监管法规生效，按风险分级管理AI应用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《日本AI政策基本法（暂定名）实施》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发文日期：2026-04-01</w:t>
      </w:r>
    </w:p>
    <w:p>
      <w:pPr>
        <w:ind w:left="240"/>
      </w:pPr>
      <w:r>
        <w:t>日本推进AI治理框架，侧重产业促进与安全平衡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国家数据局密集调研数据要素市场化配置改革，2026年5月底至6月初刘烈宏先后赴温州、深圳、东莞调研，并启动“数据要素×”大赛。这表明数据要素已从顶层设计进入地方试点与场景落地的加速期。下一步，数据产权、流通交易、收益分配等基础制度有望在年内出台细化方案，数据交易所互联互通将成为重点突破方向。</w:t>
      </w:r>
    </w:p>
    <w:p>
      <w:r>
        <w:rPr>
          <w:b/>
          <w:color w:val="5B6DE4"/>
        </w:rPr>
        <w:t xml:space="preserve">②  </w:t>
      </w:r>
      <w:r>
        <w:t>趋势2（技术路线）：智能体治理成为政策焦点，2026年5月8日网信办发布《智能体规范应用与创新发展实施意见》及系列专家解读。智能体作为AI大模型的重要应用形态，其自主决策能力带来监管挑战。政策意图在于“发展”与“规范”并重，预计后续将出台智能体备案制、行为透明性要求等细则，引导产业在合规框架内创新。</w:t>
      </w:r>
    </w:p>
    <w:p>
      <w:r>
        <w:rPr>
          <w:b/>
          <w:color w:val="5B6DE4"/>
        </w:rPr>
        <w:t xml:space="preserve">③  </w:t>
      </w:r>
      <w:r>
        <w:t>趋势3（区域格局）：地方算力政策密集出台，天津、山西、青岛等地发布2024-2026年算力或人工智能产业方案，强调“通用算力+智能算力+超级算力”一体化布局。这反映出国家“东数西算”工程正从宏观枢纽建设下沉至省市层面的产业落地，区域间算力协同与差异化竞争并存。未来，算力调度标准化与跨区域结算机制将成为关键瓶颈。</w:t>
      </w:r>
    </w:p>
    <w:p>
      <w:r>
        <w:rPr>
          <w:b/>
          <w:color w:val="5B6DE4"/>
        </w:rPr>
        <w:t xml:space="preserve">④  </w:t>
      </w:r>
      <w:r>
        <w:t>趋势4（产业影响）：工业互联网与制造业数字化转型政策持续加码，工信部2026年初印发《推动工业互联网平台高质量发展行动方案（2026—2028年）》，上海、广东等地同步启动智能化项目申报。政策逻辑在于通过“平台+数据+AI”赋能传统产业，提升全要素生产率。预计2026年下半年将涌现一批行业级工业互联网平台，中小企业上云用数赋智将获更多补贴支持。</w:t>
      </w:r>
    </w:p>
    <w:p>
      <w:r>
        <w:rPr>
          <w:b/>
          <w:color w:val="5B6DE4"/>
        </w:rPr>
        <w:t xml:space="preserve">⑤  </w:t>
      </w:r>
      <w:r>
        <w:t>趋势5（安全合规）：数据安全与个人信息保护执法常态化，中央网信办联合国家铁路局约谈7家涉火车票销售第三方平台，强调数据安全与个人信息保护。同时，工信部政策解读页面仍引用2021年《数据安全法》座谈会内容，显示数据安全监管框架持续强化。未来，数据跨境流动安全评估、汽车数据出境等细分领域将出台更具体指引，企业合规成本将进一步上升。</w:t>
      </w:r>
    </w:p>
    <w:p>
      <w:r>
        <w:rPr>
          <w:b/>
          <w:color w:val="5B6DE4"/>
        </w:rPr>
        <w:t xml:space="preserve">⑥  </w:t>
      </w:r>
      <w:r>
        <w:t>趋势6（国际比较）：欧盟AI法案于2026年1月正式生效，日本AI政策基本法于4月实施，而中国则通过《智能体规范应用与创新发展实施意见》等文件推进AI治理。三地路径差异明显：欧盟以风险分级监管为核心，日本侧重产业促进与安全平衡，中国则强调“发展”与“规范”并重，并依托数据要素市场化改革形成独特优势。启示在于：中国需加快AI基础性立法，同时在国际AI治理规则制定中争取话语权，避免因监管碎片化影响产业竞争力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