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生成日期：2026-06-15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部署信息技术标准化工作，推动数字技术标准体系建设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聚焦人工智能赋能新型工业化，组织项目申报入库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《“人工智能+信息通信”创新发展实施意见（2026—2028年）》</w:t>
      </w:r>
    </w:p>
    <w:p>
      <w:r>
        <w:rPr>
          <w:color w:val="646464"/>
          <w:sz w:val="20"/>
        </w:rPr>
        <w:t>文　　号：工信部通信〔2026〕121号</w:t>
        <w:br/>
        <w:t>发文机关：工业和信息化部</w:t>
        <w:br/>
        <w:t>发文日期：2026-06-03</w:t>
        <w:br/>
        <w:t>原文链接：https://www.miit.gov.cn/search/zcwjk.html?websiteid=110000000000000&amp;tpl=14&amp;category=183</w:t>
      </w:r>
    </w:p>
    <w:p>
      <w:pPr>
        <w:ind w:left="240"/>
      </w:pPr>
      <w:r>
        <w:t>推动人工智能与信息通信深度融合，明确三年任务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发文机关：国家网信办、国家发展改革委、工业和信息化部</w:t>
        <w:br/>
        <w:t>发文日期：2026-05-12</w:t>
        <w:br/>
        <w:t>原文链接：https://www.cac.gov.cn/wxzw/wxfb/A093702index_1.htm</w:t>
      </w:r>
    </w:p>
    <w:p>
      <w:pPr>
        <w:ind w:left="240"/>
      </w:pPr>
      <w:r>
        <w:t>三部门联合印发，规范智能体应用并促进创新发展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《生成式人工智能服务已备案信息公告（2026年3月至4月）》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发文日期：2026-05-22</w:t>
        <w:br/>
        <w:t>原文链接：https://www.cac.gov.cn/wxzw/wxfb/A093702index_1.htm</w:t>
      </w:r>
    </w:p>
    <w:p>
      <w:pPr>
        <w:ind w:left="240"/>
      </w:pPr>
      <w:r>
        <w:t>公布最新一批生成式AI服务备案信息，加强合规管理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《第二十三批境内区块链信息服务备案编号公告》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发文日期：2026-05-13</w:t>
        <w:br/>
        <w:t>原文链接：https://www.cac.gov.cn/wxzw/wxfb/A093702index_1.htm</w:t>
      </w:r>
    </w:p>
    <w:p>
      <w:pPr>
        <w:ind w:left="240"/>
      </w:pPr>
      <w:r>
        <w:t>发布新一批区块链信息服务备案，促进技术规范应用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《2026年全民数字素养与技能提升月启动》</w:t>
      </w:r>
    </w:p>
    <w:p>
      <w:r>
        <w:rPr>
          <w:color w:val="646464"/>
          <w:sz w:val="20"/>
        </w:rPr>
        <w:t>文　　号：暂无</w:t>
        <w:br/>
        <w:t>发文机关：中央网信办等</w:t>
        <w:br/>
        <w:t>发文日期：2026-05-01</w:t>
        <w:br/>
        <w:t>原文链接：https://www.zjwx.gov.cn/col/col1673580/</w:t>
      </w:r>
    </w:p>
    <w:p>
      <w:pPr>
        <w:ind w:left="240"/>
      </w:pPr>
      <w:r>
        <w:t>提升全民数字素养，助力数字中国建设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《2026年人工智能技术赋能网络安全应用测试公告》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发文日期：2026-05-01</w:t>
        <w:br/>
        <w:t>原文链接：https://www.zjwx.gov.cn/col/col1673580/</w:t>
      </w:r>
    </w:p>
    <w:p>
      <w:pPr>
        <w:ind w:left="240"/>
      </w:pPr>
      <w:r>
        <w:t>推动AI技术在网络安全领域的应用测试与评估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《国家数据局赴温州、深圳、东莞调研数据要素市场化配置改革》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调研数据要素市场化配置改革，推动政策落地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专题培训数字中国建设，提升干部数字化能力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  <w:br/>
        <w:t>原文链接：http://dsjfzj.gxzf.gov.cn/dtyw/t27693058.shtml</w:t>
      </w:r>
    </w:p>
    <w:p>
      <w:pPr>
        <w:ind w:left="240"/>
      </w:pPr>
      <w:r>
        <w:t>部署8方面重点任务，深化数据要素市场化配置改革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《2026年“数据要素×”大赛通知发布》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发文日期：2026-04-30</w:t>
      </w:r>
    </w:p>
    <w:p>
      <w:pPr>
        <w:ind w:left="240"/>
      </w:pPr>
      <w:r>
        <w:t>发挥数据要素乘数效应，赋能经济社会高质量发展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《山西省推进数字经济全面发展实施方案（2026）》</w:t>
      </w:r>
    </w:p>
    <w:p>
      <w:r>
        <w:rPr>
          <w:color w:val="646464"/>
          <w:sz w:val="20"/>
        </w:rPr>
        <w:t>文　　号：暂无</w:t>
        <w:br/>
        <w:t>发文机关：山西省人民政府</w:t>
        <w:br/>
        <w:t>发文日期：2026-01-04</w:t>
      </w:r>
    </w:p>
    <w:p>
      <w:pPr>
        <w:ind w:left="240"/>
      </w:pPr>
      <w:r>
        <w:t>开展算力强基揭榜行动，推动数字经济全面发展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《山西省推进数字经济全面发展实施方案（2026）》</w:t>
      </w:r>
    </w:p>
    <w:p>
      <w:r>
        <w:rPr>
          <w:color w:val="646464"/>
          <w:sz w:val="20"/>
        </w:rPr>
        <w:t>文　　号：暂无</w:t>
        <w:br/>
        <w:t>发文机关：山西省人民政府</w:t>
        <w:br/>
        <w:t>发文日期：2026-01-04</w:t>
      </w:r>
    </w:p>
    <w:p>
      <w:pPr>
        <w:ind w:left="240"/>
      </w:pPr>
      <w:r>
        <w:t>开展算力强基揭榜行动，推动数字经济全面发展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《日本人工智能战略2026》</w:t>
      </w:r>
    </w:p>
    <w:p>
      <w:r>
        <w:rPr>
          <w:color w:val="646464"/>
          <w:sz w:val="20"/>
        </w:rPr>
        <w:t>文　　号：暂无</w:t>
        <w:br/>
        <w:t>发文机关：日本内阁府</w:t>
        <w:br/>
        <w:t>发文日期：2026-01-01</w:t>
      </w:r>
    </w:p>
    <w:p>
      <w:pPr>
        <w:ind w:left="240"/>
      </w:pPr>
      <w:r>
        <w:t>推动AI研发、产业应用及国际规则制定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5月国家数据局印发《2026年数字经济发展工作要点》，首次明确‘加快建立全国统一数据产权登记制度’和‘建设全国一体化数据市场’。这标志着数据要素从‘鼓励流通’进入‘制度定型’阶段。下一步，数据产权登记指引、公共数据授权运营价格机制等配套文件将密集出台，数据资产化进程将显著提速，但跨部门协调和利益分配仍是难点。</w:t>
      </w:r>
    </w:p>
    <w:p>
      <w:r>
        <w:rPr>
          <w:b/>
          <w:color w:val="5B6DE4"/>
        </w:rPr>
        <w:t xml:space="preserve">②  </w:t>
      </w:r>
      <w:r>
        <w:t>趋势2（技术路线）：工信部6月3日发布《“人工智能+信息通信”创新发展实施意见（2026—2028年）》，明确将AI与5G/6G、算力网络深度融合。此举旨在通过通信基础设施的智能化升级，为AI大模型提供低延迟、高带宽的算力调度能力。预计未来两年，运营商将大规模部署AI原生网络，边缘计算与智能算力协同将成为新基建重点。</w:t>
      </w:r>
    </w:p>
    <w:p>
      <w:r>
        <w:rPr>
          <w:b/>
          <w:color w:val="5B6DE4"/>
        </w:rPr>
        <w:t xml:space="preserve">③  </w:t>
      </w:r>
      <w:r>
        <w:t>趋势3（区域格局）：广东、山西、广西、山东等多省密集出台2024—2026年算力与AI行动计划，但侧重点分化明显：广东聚焦‘AI赋能新型工业化’，山西强调‘算力强基揭榜’，山东则主攻‘海洋大模型’。这种差异化布局反映出国家‘东数西算’框架下各省正结合自身产业优势争夺细分赛道，未来区域间算力协同与数据流通机制将成为关键瓶颈。</w:t>
      </w:r>
    </w:p>
    <w:p>
      <w:r>
        <w:rPr>
          <w:b/>
          <w:color w:val="5B6DE4"/>
        </w:rPr>
        <w:t xml:space="preserve">④  </w:t>
      </w:r>
      <w:r>
        <w:t>趋势4（产业影响）：国家数据局启动2026年‘数据要素×’大赛，并赴深圳、温州等地调研数据要素市场化改革。这表明政策正从‘顶层设计’转向‘场景落地’。金融、医疗、交通等高价值行业将率先受益于数据要素乘数效应，但中小企业数据获取成本高、合规门槛大等问题可能加剧‘数据鸿沟’，需关注配套扶持政策。</w:t>
      </w:r>
    </w:p>
    <w:p>
      <w:r>
        <w:rPr>
          <w:b/>
          <w:color w:val="5B6DE4"/>
        </w:rPr>
        <w:t xml:space="preserve">⑤  </w:t>
      </w:r>
      <w:r>
        <w:t>趋势5（安全合规）：网信办5月连续发布生成式AI服务备案公告和智能体规范意见，显示AI监管正从‘原则性要求’走向‘备案制+分类管理’。智能体（AI Agent）作为新兴形态被纳入监管框架，要求开发者履行安全评估、算法备案等义务。预计下半年将出台智能体分级分类细则，企业需提前建立合规内控体系，尤其在金融、政务等高敏感领域。</w:t>
      </w:r>
    </w:p>
    <w:p>
      <w:r>
        <w:rPr>
          <w:b/>
          <w:color w:val="5B6DE4"/>
        </w:rPr>
        <w:t xml:space="preserve">⑥  </w:t>
      </w:r>
      <w:r>
        <w:t>趋势6（国际比较）：中国以‘数据要素×’大赛和全国一体化数据市场建设推动数据流通，欧盟通过《人工智能法案》实施风险分级监管，美国则依靠行政令强调AI安全测试。三者路径差异明显：中国侧重‘用数据驱动经济’，欧盟聚焦‘风险防控’，美国强调‘企业自律+政府指导’。中国在数据产权和公共数据授权运营方面走在前列，但AI安全评估标准尚未统一，可借鉴欧盟分级思路完善自身监管体系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