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生成日期：2026-08-06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《互联网用户账号信息管理规定》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发文日期：2026-08-01</w:t>
      </w:r>
    </w:p>
    <w:p>
      <w:pPr>
        <w:ind w:left="240"/>
      </w:pPr>
      <w:r>
        <w:t>规范互联网用户账号信息注册、使用与管理，8月1日起正式施行。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《2026中国国际大数据产业博览会新闻发布会》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发文日期：2026-07-31</w:t>
        <w:br/>
        <w:t>原文链接：https://m.spzwxxj.henan.gov.cn/2026/07-31/3381078.html</w:t>
      </w:r>
    </w:p>
    <w:p>
      <w:pPr>
        <w:ind w:left="240"/>
      </w:pPr>
      <w:r>
        <w:t>发布会透露：140万PFLOPS智能算力接入全国一体化算力网，登记数据资源近30万项。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《人工智能+信息通信创新发展实施意见（2026—2028年）》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发文日期：2026-06-12</w:t>
        <w:br/>
        <w:t>原文链接：https://www.hbqj.gov.cn/sjjhxxhj/zfxxgk/zc/bbmwj/202606/t20260612_5957098.html</w:t>
      </w:r>
    </w:p>
    <w:p>
      <w:pPr>
        <w:ind w:left="240"/>
      </w:pPr>
      <w:r>
        <w:t>构建“枢纽—区域—边缘”三级算力设施体系，推动算力、模型、应用协同创新。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《网络数据安全风险评估办法》</w:t>
      </w:r>
    </w:p>
    <w:p>
      <w:r>
        <w:rPr>
          <w:color w:val="646464"/>
          <w:sz w:val="20"/>
        </w:rPr>
        <w:t>文　　号：暂无</w:t>
        <w:br/>
        <w:t>发文机关：国家互联网信息办公室、工业和信息化部、公安部</w:t>
        <w:br/>
        <w:t>发文日期：2026-06-22</w:t>
        <w:br/>
        <w:t>原文链接：http://www.wenming.cn/cy/20260622/2cb87e73b17048c6bc4043d46027f1b8/c.html</w:t>
      </w:r>
    </w:p>
    <w:p>
      <w:pPr>
        <w:ind w:left="240"/>
      </w:pPr>
      <w:r>
        <w:t>三部门联合公布，规范网络数据安全风险评估活动，自8月20日起施行。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《关于推动互联网基础资源高质量发展的指导意见》</w:t>
      </w:r>
    </w:p>
    <w:p>
      <w:r>
        <w:rPr>
          <w:color w:val="646464"/>
          <w:sz w:val="20"/>
        </w:rPr>
        <w:t>文　　号：暂无</w:t>
        <w:br/>
        <w:t>发文机关：工业和信息化部、中央网信办、国家发展改革委、国家数据局</w:t>
        <w:br/>
        <w:t>发文日期：2026-07-01</w:t>
        <w:br/>
        <w:t>原文链接：https://gyxxh.tj.gov.cn/ZWGK4147/ZCWJ6355/gjjwj/202607/t20260713_7334666.html</w:t>
      </w:r>
    </w:p>
    <w:p>
      <w:pPr>
        <w:ind w:left="240"/>
      </w:pPr>
      <w:r>
        <w:t>四部门联合推动互联网基础资源高质量发展，强化顶层设计与统筹布局。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《普惠算力赋能中小企业发展专项行动》</w:t>
      </w:r>
    </w:p>
    <w:p>
      <w:r>
        <w:rPr>
          <w:color w:val="646464"/>
          <w:sz w:val="20"/>
        </w:rPr>
        <w:t>文　　号：暂无</w:t>
        <w:br/>
        <w:t>发文机关：工业和信息化部办公厅</w:t>
        <w:br/>
        <w:t>发文日期：2026-04-03</w:t>
        <w:br/>
        <w:t>原文链接：https://gyxxh.tj.gov.cn/ZWGK4147/ZCWJ6355/gjjwj/202604/t20260403_7275768.html</w:t>
      </w:r>
    </w:p>
    <w:p>
      <w:pPr>
        <w:ind w:left="240"/>
      </w:pPr>
      <w:r>
        <w:t>落实算力基础设施高质量发展行动计划，提升算力普惠易用水平。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《2026年省级工业数字化转型项目申报》</w:t>
      </w:r>
    </w:p>
    <w:p>
      <w:r>
        <w:rPr>
          <w:color w:val="646464"/>
          <w:sz w:val="20"/>
        </w:rPr>
        <w:t>文　　号：暂无</w:t>
        <w:br/>
        <w:t>发文机关：福建省工业和信息化厅</w:t>
        <w:br/>
        <w:t>发文日期：2026-01-28</w:t>
      </w:r>
    </w:p>
    <w:p>
      <w:pPr>
        <w:ind w:left="240"/>
      </w:pPr>
      <w:r>
        <w:t>组织开展省级工业数字化转型项目申报，推动制造业智能化改造。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《2026年工业互联网重点项目补助申报》</w:t>
      </w:r>
    </w:p>
    <w:p>
      <w:r>
        <w:rPr>
          <w:color w:val="646464"/>
          <w:sz w:val="20"/>
        </w:rPr>
        <w:t>文　　号：暂无</w:t>
        <w:br/>
        <w:t>发文机关：福州市工业和信息化局、福州市财政局</w:t>
        <w:br/>
        <w:t>发文日期：2026-03-26</w:t>
        <w:br/>
        <w:t>原文链接：https://www.fuzhou.gov.cn/zgfzzt/sjxw/zzbz/gfxwj_36805/bmwj_36806/202603/t20260326_5301055.htm</w:t>
      </w:r>
    </w:p>
    <w:p>
      <w:pPr>
        <w:ind w:left="240"/>
      </w:pPr>
      <w:r>
        <w:t>按项目实际投资额20%补助，最高不超过200万元。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（制度建设）：《网络数据安全风险评估办法》将于2026年8月20日施行，标志着我国数据安全治理从原则性立法走向精细化落地。该办法由网信办、工信部、公安部三部门联合发布，明确了风险评估的对象、流程与责任主体，是对《数据安全法》和《网络数据安全管理条例》的具体化执行。研判：下一步将配套出台行业实施细则与评估机构资质认定标准，企业数据安全合规成本将显著上升，第三方评估市场有望快速扩容。</w:t>
      </w:r>
    </w:p>
    <w:p>
      <w:r>
        <w:rPr>
          <w:b/>
          <w:color w:val="5B6DE4"/>
        </w:rPr>
        <w:t xml:space="preserve">②  </w:t>
      </w:r>
      <w:r>
        <w:t>趋势2（技术路线）：工信部《“人工智能+信息通信”创新发展实施意见》提出构建“枢纽—区域—边缘”三级算力设施体系，并建立统一算力标识体系。这标志着我国算力布局从“东数西算”的宏观骨架向精细化、服务化方向演进。逻辑在于：大模型训练与推理对算力时延和能效提出差异化需求，单一中心化布局难以满足。研判：算力标识标准化将催生算力互联网新业态，跨域调度与算力交易市场将加速形成。</w:t>
      </w:r>
    </w:p>
    <w:p>
      <w:r>
        <w:rPr>
          <w:b/>
          <w:color w:val="5B6DE4"/>
        </w:rPr>
        <w:t xml:space="preserve">③  </w:t>
      </w:r>
      <w:r>
        <w:t>趋势3（区域格局）：广西、苏州、浙江等地密集出台人工智能算力补贴政策，且呈现“地方先行、中央跟进”的鲜明特征。广西明确“北上广研发+广西集成+东盟应用”路径，苏州按30%比例补贴智算租用费，浙江则利用超长期特别国债资金发放算力券。逻辑在于：各地争抢人工智能产业制高点，算力补贴成为最直接的招商抓手。研判：地方算力补贴政策将出现分化，财政强省倾向于普惠制补贴，中西部更侧重特色场景绑定，需警惕重复建设与资源浪费。</w:t>
      </w:r>
    </w:p>
    <w:p>
      <w:r>
        <w:rPr>
          <w:b/>
          <w:color w:val="5B6DE4"/>
        </w:rPr>
        <w:t xml:space="preserve">④  </w:t>
      </w:r>
      <w:r>
        <w:t>趋势4（产业影响）：国家数据局在数博会发布会透露，已有140万PFLOPS智能算力接入全国一体化算力网试验验证平台，登记数据资源近30万项。这一数据表明算力网建设已从“搭架子”进入“填内容”阶段。逻辑在于：算力只有与数据、模型结合才能产生实际价值，单纯堆砌算力硬件无法形成生产力。研判：下一步政策重心将转向算力网上的数据流通规则与模型调度机制，算力网运营商角色将逐步清晰。</w:t>
      </w:r>
    </w:p>
    <w:p>
      <w:r>
        <w:rPr>
          <w:b/>
          <w:color w:val="5B6DE4"/>
        </w:rPr>
        <w:t xml:space="preserve">⑤  </w:t>
      </w:r>
      <w:r>
        <w:t>趋势5（安全合规）：《汽车数据出境安全指引（2026版）》由八部门联合印发，是数据跨境流动领域首个细分行业指引。其特殊之处在于：汽车数据涉及地理信息、个人隐私、车辆安全等多重敏感维度，且与自动驾驶技术竞争直接相关。逻辑在于：我国在智能网联汽车领域具备产业优势，需要通过制度设计在安全与效率间取得平衡。研判：后续将陆续出台医疗、金融、航运等行业数据出境指引，形成“1+N”数据跨境制度体系。</w:t>
      </w:r>
    </w:p>
    <w:p>
      <w:r>
        <w:rPr>
          <w:b/>
          <w:color w:val="5B6DE4"/>
        </w:rPr>
        <w:t xml:space="preserve">⑥  </w:t>
      </w:r>
      <w:r>
        <w:t>趋势6（国际比较）：中国通过《网络数据安全风险评估办法》强化事前评估与事中监管，美国则通过行政令推动人工智能模型安全测试与披露，欧盟依托《人工智能法案》实施风险分级管理。三国路径差异明显：中国侧重数据全生命周期安全评估，美国强调模型行为审计，欧盟聚焦应用场景风险分级。逻辑在于：各自产业禀赋不同——中国数据资源丰富、美国算力算法领先、欧盟市场规则成熟。研判：三方制度将形成事实上的“数据安全合规三角”，跨国企业需同时满足三重标准，全球数据治理碎片化短期难以缓解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