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生成日期：2026-09-22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>
      <w:r>
        <w:rPr>
          <w:b/>
          <w:sz w:val="24"/>
        </w:rPr>
        <w:t>《数据出境安全管理政策法规问答（2026年9月）》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发文日期：2026-09-20</w:t>
        <w:br/>
        <w:t>原文链接：https://www.cac.gov.cn/wxzw/A0937index_1.htm</w:t>
      </w:r>
    </w:p>
    <w:p>
      <w:pPr>
        <w:ind w:left="240"/>
      </w:pPr>
      <w:r>
        <w:t>网信办发布数据出境安全管理政策问答，回应企业合规关切，细化出境路径适用标准。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《关于30款App个人信息收集使用问题的通报》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发文日期：2026-09-20</w:t>
        <w:br/>
        <w:t>原文链接：https://www.cac.gov.cn/wxzw/A0937index_1.htm</w:t>
      </w:r>
    </w:p>
    <w:p>
      <w:pPr>
        <w:ind w:left="240"/>
      </w:pPr>
      <w:r>
        <w:t>通报30款App违规收集使用个人信息问题，责令限期整改，强化个人信息保护执法。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《2026年人工智能技术60国家互联网信息办公室相关发布》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发文日期：2026-09-19</w:t>
        <w:br/>
        <w:t>原文链接：https://wap.cac.gov.cn/phoneindex.htm?defaultIndex=1</w:t>
      </w:r>
    </w:p>
    <w:p>
      <w:pPr>
        <w:ind w:left="240"/>
      </w:pPr>
      <w:r>
        <w:t>网信办发布人工智能技术相关治理信息，涉及生成式AI服务备案与安全评估要求。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《中文互联网基础语料4.0等三类高质量数据集正式发布》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发文日期：2026-09-19</w:t>
        <w:br/>
        <w:t>原文链接：https://wap.cac.gov.cn/phoneindex.htm?defaultIndex=1</w:t>
      </w:r>
    </w:p>
    <w:p>
      <w:pPr>
        <w:ind w:left="240"/>
      </w:pPr>
      <w:r>
        <w:t>发布中文互联网基础语料4.0等三类高质量数据集，支撑大模型训练与数据要素流通。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《中方关于深化中国—东盟数字治理合作的倡议》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发文日期：2026-09-19</w:t>
        <w:br/>
        <w:t>原文链接：https://wap.cac.gov.cn/phoneindex.htm?defaultIndex=1</w:t>
      </w:r>
    </w:p>
    <w:p>
      <w:pPr>
        <w:ind w:left="240"/>
      </w:pPr>
      <w:r>
        <w:t>中方提出深化中国—东盟数字治理合作倡议，推动数字规则互认与跨境数据合作。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《国家网信办将在2026年APEC数字周期间举办系列活动》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发文日期：2026-09-19</w:t>
        <w:br/>
        <w:t>原文链接：https://wap.cac.gov.cn/phoneindex.htm?defaultIndex=1</w:t>
      </w:r>
    </w:p>
    <w:p>
      <w:pPr>
        <w:ind w:left="240"/>
      </w:pPr>
      <w:r>
        <w:t>网信办宣布将在APEC数字周举办系列活动，推进亚太数字治理与数字经济合作。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《2026年国家网络安全宣传周网络安全技术高峰论坛》</w:t>
      </w:r>
    </w:p>
    <w:p>
      <w:r>
        <w:rPr>
          <w:color w:val="646464"/>
          <w:sz w:val="20"/>
        </w:rPr>
        <w:t>文　　号：暂无</w:t>
        <w:br/>
        <w:t>发文机关：中央网信办等十部门</w:t>
        <w:br/>
        <w:t>发文日期：2026-09-14</w:t>
        <w:br/>
        <w:t>原文链接：https://www.gjwlaqxcz.cn/</w:t>
      </w:r>
    </w:p>
    <w:p>
      <w:pPr>
        <w:ind w:left="240"/>
      </w:pPr>
      <w:r>
        <w:t>网络安全技术高峰论坛在济南举行，聚焦AI安全、数据保护与关键信息基础设施防护。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《人工智能安全治理框架3.0》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发文日期：2026-09-11</w:t>
        <w:br/>
        <w:t>原文链接：https://www.cac.gov.cn/cms/pub/interact/downloadfile.jsp?filepath=ZBWvETi1XzcBKtOIkqelkFNfnsiqRz/RVoObc/v/uk8HfA7qN3VpXTSitEFyvFWXTzuPjjARmklnQb/fGcH5CjEjTcORl73kmCTdYOvdSjs=</w:t>
      </w:r>
    </w:p>
    <w:p>
      <w:pPr>
        <w:ind w:left="240"/>
      </w:pPr>
      <w:r>
        <w:t>升级人工智能安全治理框架至3.0版，强化风险分类、全生命周期管控与人类控制原则。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《“人工智能+软件”专项行动实施方案》</w:t>
      </w:r>
    </w:p>
    <w:p>
      <w:r>
        <w:rPr>
          <w:color w:val="646464"/>
          <w:sz w:val="20"/>
        </w:rPr>
        <w:t>文　　号：工信部信发〔2026〕209号</w:t>
        <w:br/>
        <w:t>发文机关：工业和信息化部</w:t>
        <w:br/>
        <w:t>发文日期：2026-09-02</w:t>
        <w:br/>
        <w:t>原文链接：https://www.miit.gov.cn/search/zcwjk.html?websiteid=110000000000000&amp;tpl=14&amp;category=183</w:t>
      </w:r>
    </w:p>
    <w:p>
      <w:pPr>
        <w:ind w:left="240"/>
      </w:pPr>
      <w:r>
        <w:t>工信部印发人工智能+软件专项行动方案，推动AI与软件产业深度融合与智能化升级。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《智能网联新能源汽车产业发展“十五五”规划》</w:t>
      </w:r>
    </w:p>
    <w:p>
      <w:r>
        <w:rPr>
          <w:color w:val="646464"/>
          <w:sz w:val="20"/>
        </w:rPr>
        <w:t>文　　号：暂无</w:t>
        <w:br/>
        <w:t>发文机关：工业和信息化部等九部门</w:t>
        <w:br/>
        <w:t>发文日期：2026-09-11</w:t>
        <w:br/>
        <w:t>原文链接：https://www.miit.gov.cn/search/zcwjk.html?websiteid=110000000000000&amp;tpl=14&amp;category=183</w:t>
      </w:r>
    </w:p>
    <w:p>
      <w:pPr>
        <w:ind w:left="240"/>
      </w:pPr>
      <w:r>
        <w:t>九部门联合印发智能网联新能源汽车十五五规划，部署车路云一体化与数据安全要求。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《2026年国家网络安全宣传周活动》</w:t>
      </w:r>
    </w:p>
    <w:p>
      <w:r>
        <w:rPr>
          <w:color w:val="646464"/>
          <w:sz w:val="20"/>
        </w:rPr>
        <w:t>文　　号：暂无</w:t>
        <w:br/>
        <w:t>发文机关：中央宣传部、中央网信办等十部门</w:t>
        <w:br/>
        <w:t>发文日期：2026-09-01</w:t>
        <w:br/>
        <w:t>原文链接：http://jx.people.com.cn/n2/2026/0902/c186330-41684309.html</w:t>
      </w:r>
    </w:p>
    <w:p>
      <w:pPr>
        <w:ind w:left="240"/>
      </w:pPr>
      <w:r>
        <w:t>十部门联合开展国家网络安全宣传周，主题涵盖数据安全、AI治理与全民安全意识提升。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《2026国家网络安全宣传周奉贤地区活动暨“数首发”奉贤专场产品发布》</w:t>
      </w:r>
    </w:p>
    <w:p>
      <w:r>
        <w:rPr>
          <w:color w:val="646464"/>
          <w:sz w:val="20"/>
        </w:rPr>
        <w:t>文　　号：暂无</w:t>
        <w:br/>
        <w:t>发文机关：上海市委网信办、奉贤区</w:t>
        <w:br/>
        <w:t>发文日期：2026-09-08</w:t>
        <w:br/>
        <w:t>原文链接：https://jswx.gov.cn/csj/sh/</w:t>
      </w:r>
    </w:p>
    <w:p>
      <w:pPr>
        <w:ind w:left="240"/>
      </w:pPr>
      <w:r>
        <w:t>上海奉贤举办网络安全宣传周活动，发布“数首发”数据产品，推动数据要素市场化配置。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《关于对派拓公司在华销售产品启动网络安全审查的公告》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发文日期：2026-09-06</w:t>
        <w:br/>
        <w:t>原文链接：https://www.cac.gov.cn/wxzw/wlaq/A093705index_1.htm</w:t>
      </w:r>
    </w:p>
    <w:p>
      <w:pPr>
        <w:ind w:left="240"/>
      </w:pPr>
      <w:r>
        <w:t>对派拓公司在华销售产品启动网络安全审查，防范关键信息基础设施供应链风险。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现象：网信办9月密集发布数据出境问答、App通报、AI安全治理框架3.0，并启动对派拓公司网络安全审查。逻辑：这一系列动作表明监管重心正从“建章立制”转向“执法落地”，通过典型案例和操作指引将法律条文转化为可执行的合规标准，同时以供应链安全审查回应地缘技术竞争。研判：预计四季度将出现更多针对外资科技产品的安全审查案例，数据出境“负面清单”有望在更多自贸区推广，企业需建立常态化合规审计机制。</w:t>
      </w:r>
    </w:p>
    <w:p>
      <w:r>
        <w:rPr>
          <w:b/>
          <w:color w:val="5B6DE4"/>
        </w:rPr>
        <w:t xml:space="preserve">②  </w:t>
      </w:r>
      <w:r>
        <w:t>现象：工信部印发“人工智能+软件”专项行动方案，九部门联合发布智能网联新能源汽车“十五五”规划，均将AI与数据安全要求嵌入产业规划。逻辑：政策意图在于以场景应用牵引技术迭代，将AI从通用工具转化为行业生产力，同时通过产业规划前置安全要求，避免“先发展后治理”的路径依赖。研判：行业大模型备案将加速，汽车、软件等领域的AI安全标准有望率先出台，中小企业面临合规成本压力，行业集中度可能提升。</w:t>
      </w:r>
    </w:p>
    <w:p>
      <w:r>
        <w:rPr>
          <w:b/>
          <w:color w:val="5B6DE4"/>
        </w:rPr>
        <w:t xml:space="preserve">③  </w:t>
      </w:r>
      <w:r>
        <w:t>现象：网信办发布中文互联网基础语料4.0等三类高质量数据集，并推动中国—东盟数字治理合作倡议。逻辑：数据要素战略正从制度建设转向供给端发力，高质量语料是训练大模型的“卡脖子”资源，而国际合作则是为数据跨境流动开辟多边通道，对冲西方数据联盟的排他性。研判：国家级语料库将持续扩容并向产业开放，数据跨境“白名单”机制可能率先在东盟方向突破，但需警惕数据主权争议与内容安全审查的平衡难题。</w:t>
      </w:r>
    </w:p>
    <w:p>
      <w:r>
        <w:rPr>
          <w:b/>
          <w:color w:val="5B6DE4"/>
        </w:rPr>
        <w:t xml:space="preserve">④  </w:t>
      </w:r>
      <w:r>
        <w:t>现象：2026年国家网络安全宣传周以“AI安全”为技术高峰论坛核心议题，上海奉贤同步发布“数首发”数据产品。逻辑：网络安全宣传周已从全民科普升级为政策宣贯与产业对接平台，地方层面则将数据要素市场化与网络安全宣传结合，体现“安全是发展的前提”这一政策逻辑。研判：地方数据交易所与安全企业将加速融合，数据产品挂牌交易的安全评估标准有望统一，但地方各自探索可能造成规则碎片化，需关注国家层面统筹。</w:t>
      </w:r>
    </w:p>
    <w:p>
      <w:r>
        <w:rPr>
          <w:b/>
          <w:color w:val="5B6DE4"/>
        </w:rPr>
        <w:t xml:space="preserve">⑤  </w:t>
      </w:r>
      <w:r>
        <w:t>现象：上海网信办与证监局联合召开资本市场网络合规指导会，市场监管总局等三部门约谈火车票销售平台。逻辑：平台经济监管进入“分行业精细化”阶段，资本市场网络信息传播和票务平台数据安全成为新焦点，反映监管从反垄断向数据安全、算法治理等维度延伸。研判：金融、交通等关键领域的平台合规要求将趋严，算法透明度与数据共享义务可能成为下一阶段立法重点，平台企业需提前布局合规科技能力。</w:t>
      </w:r>
    </w:p>
    <w:p>
      <w:r>
        <w:rPr>
          <w:b/>
          <w:color w:val="5B6DE4"/>
        </w:rPr>
        <w:t xml:space="preserve">⑥  </w:t>
      </w:r>
      <w:r>
        <w:t>现象：中国以网信办为主导密集出台AI安全治理框架3.0和数据出境问答，欧盟AI法案已进入实施阶段，美国行政令被后续政府调整，日本则通过促进型AI推进法。逻辑：三方路径差异显著——中国强调安全与发展并重、以部门规章快速迭代；欧盟以综合性立法确立风险分级；日本以促进创新为优先、轻量监管；美国则因政治周期出现政策摇摆。研判：中国可借鉴欧盟风险分级方法提升监管精度，同时警惕美国政策不确定性对全球AI治理协调的冲击，建议加快双边数字治理对话机制建设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