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B6DE4"/>
          <w:sz w:val="44"/>
        </w:rPr>
        <w:t>数据和信息化政策日报</w:t>
      </w:r>
    </w:p>
    <w:p>
      <w:pPr>
        <w:jc w:val="center"/>
      </w:pPr>
      <w:r>
        <w:rPr>
          <w:color w:val="828282"/>
          <w:sz w:val="22"/>
        </w:rPr>
        <w:t>生成日期：2026-07-11　　数据 · 算力 · 信息化</w:t>
      </w:r>
    </w:p>
    <w:p/>
    <w:p>
      <w:pPr>
        <w:pStyle w:val="Heading1"/>
      </w:pPr>
      <w:r>
        <w:rPr>
          <w:color w:val="5B6DE4"/>
          <w:sz w:val="28"/>
        </w:rPr>
        <w:t>一、过去 24 小时关键政策</w:t>
      </w:r>
    </w:p>
    <w:p>
      <w:r>
        <w:rPr>
          <w:b/>
          <w:sz w:val="24"/>
        </w:rPr>
        <w:t>《1—5月具身智能企业销售收入增长22.4%》</w:t>
      </w:r>
    </w:p>
    <w:p>
      <w:r>
        <w:rPr>
          <w:color w:val="646464"/>
          <w:sz w:val="20"/>
        </w:rPr>
        <w:t>文　　号：暂无</w:t>
        <w:br/>
        <w:t>发文机关：国家税务总局</w:t>
        <w:br/>
        <w:t>发文日期：2026-06-30</w:t>
        <w:br/>
        <w:t>原文链接：https://mp.weixin.qq.com/s?__biz=MzA4NDM5OTExNg==&amp;mid=2652984600&amp;idx=2&amp;sn=7658b7c32b695708b064a88d089fc0d5&amp;chksm=853ce4691dc10c09e8ac46eb6f83300bc575fb4209bfc28fd940b82265c3e54c4c9f750201ef&amp;scene=27</w:t>
      </w:r>
    </w:p>
    <w:p>
      <w:pPr>
        <w:ind w:left="240"/>
      </w:pPr>
      <w:r>
        <w:t>国家税务总局数据显示，2026年前5月具身智能企业销售收入同比增长22.4%。</w:t>
      </w:r>
    </w:p>
    <w:p>
      <w:pPr>
        <w:spacing w:before="0" w:after="80"/>
        <w:pBdr>
          <w:bottom w:val="single" w:sz="4" w:space="1" w:color="DDDDDD"/>
        </w:pBdr>
      </w:pPr>
    </w:p>
    <w:p/>
    <w:p>
      <w:pPr>
        <w:pStyle w:val="Heading1"/>
      </w:pPr>
      <w:r>
        <w:rPr>
          <w:color w:val="5B6DE4"/>
          <w:sz w:val="28"/>
        </w:rPr>
        <w:t>二、过去一个月主要政策动向</w:t>
      </w:r>
    </w:p>
    <w:p>
      <w:r>
        <w:rPr>
          <w:b/>
          <w:sz w:val="24"/>
        </w:rPr>
        <w:t>《网络数据安全风险评估办法》</w:t>
      </w:r>
    </w:p>
    <w:p>
      <w:r>
        <w:rPr>
          <w:color w:val="646464"/>
          <w:sz w:val="20"/>
        </w:rPr>
        <w:t>文　　号：暂无</w:t>
        <w:br/>
        <w:t>发文机关：国家互联网信息办公室、工业和信息化部、公安部</w:t>
        <w:br/>
        <w:t>发文日期：2026-06-18</w:t>
        <w:br/>
        <w:t>原文链接：https://weibo.com/ttarticle/p/show?id=2309405315921706352708</w:t>
      </w:r>
    </w:p>
    <w:p>
      <w:pPr>
        <w:ind w:left="240"/>
      </w:pPr>
      <w:r>
        <w:t>规定重要数据每年、一般数据每三年开展安全风险评估，自2026年8月20日施行。</w:t>
      </w:r>
    </w:p>
    <w:p>
      <w:pPr>
        <w:spacing w:before="0" w:after="80"/>
        <w:pBdr>
          <w:bottom w:val="single" w:sz="4" w:space="1" w:color="DDDDDD"/>
        </w:pBdr>
      </w:pPr>
    </w:p>
    <w:p>
      <w:r>
        <w:rPr>
          <w:b/>
          <w:sz w:val="24"/>
        </w:rPr>
        <w:t>《工业和信息化部办公厅关于实施人工智能科技伦理审查与服务先导计划的通知》</w:t>
      </w:r>
    </w:p>
    <w:p>
      <w:r>
        <w:rPr>
          <w:color w:val="646464"/>
          <w:sz w:val="20"/>
        </w:rPr>
        <w:t>文　　号：暂无</w:t>
        <w:br/>
        <w:t>发文机关：工业和信息化部办公厅</w:t>
        <w:br/>
        <w:t>发文日期：2026-05-14</w:t>
        <w:br/>
        <w:t>原文链接：https://www.miit.gov.cn/jgsj/kjs/wjfb/</w:t>
      </w:r>
    </w:p>
    <w:p>
      <w:pPr>
        <w:ind w:left="240"/>
      </w:pPr>
      <w:r>
        <w:t>启动AI科技伦理审查先导计划，推动人工智能伦理治理体系建设。</w:t>
      </w:r>
    </w:p>
    <w:p>
      <w:pPr>
        <w:spacing w:before="0" w:after="80"/>
        <w:pBdr>
          <w:bottom w:val="single" w:sz="4" w:space="1" w:color="DDDDDD"/>
        </w:pBdr>
      </w:pPr>
    </w:p>
    <w:p>
      <w:r>
        <w:rPr>
          <w:b/>
          <w:sz w:val="24"/>
        </w:rPr>
        <w:t>《协力数据与人工智能领域法律合规动态月报（6月）》</w:t>
      </w:r>
    </w:p>
    <w:p>
      <w:r>
        <w:rPr>
          <w:color w:val="646464"/>
          <w:sz w:val="20"/>
        </w:rPr>
        <w:t>文　　号：暂无</w:t>
        <w:br/>
        <w:t>发文机关：协力律师事务所</w:t>
        <w:br/>
        <w:t>发文日期：2026-06-30</w:t>
        <w:br/>
        <w:t>原文链接：https://mp.weixin.qq.com/s?__biz=MzA3MzM5MDkzMQ==&amp;mid=2650531108&amp;idx=4&amp;sn=a212c82513e3d08160a10bda8f8d4d85&amp;chksm=869818990e2a57f80ddf0eafc14eb1a6a8d5cb2ec5467a315984d05f9da7f71aadc134d621e1&amp;scene=27</w:t>
      </w:r>
    </w:p>
    <w:p>
      <w:pPr>
        <w:ind w:left="240"/>
      </w:pPr>
      <w:r>
        <w:t>梳理6月数据安全、AI合规等多项标准征求意见稿，涉及关键信息基础设施安全检测评估等。</w:t>
      </w:r>
    </w:p>
    <w:p>
      <w:pPr>
        <w:spacing w:before="0" w:after="80"/>
        <w:pBdr>
          <w:bottom w:val="single" w:sz="4" w:space="1" w:color="DDDDDD"/>
        </w:pBdr>
      </w:pPr>
    </w:p>
    <w:p>
      <w:r>
        <w:rPr>
          <w:b/>
          <w:sz w:val="24"/>
        </w:rPr>
        <w:t>《省发展改革委关于省政协十三届三次会议第678号提案的答复》</w:t>
      </w:r>
    </w:p>
    <w:p>
      <w:r>
        <w:rPr>
          <w:color w:val="646464"/>
          <w:sz w:val="20"/>
        </w:rPr>
        <w:t>文　　号：暂无</w:t>
        <w:br/>
        <w:t>发文机关：浙江省发展和改革委员会</w:t>
        <w:br/>
        <w:t>发文日期：2026-06-25</w:t>
      </w:r>
    </w:p>
    <w:p>
      <w:pPr>
        <w:ind w:left="240"/>
      </w:pPr>
      <w:r>
        <w:t>答复推动算力与数据资源共享平台建设，优化宁波人工智能算力平台200P智算算力。</w:t>
      </w:r>
    </w:p>
    <w:p>
      <w:pPr>
        <w:spacing w:before="0" w:after="80"/>
        <w:pBdr>
          <w:bottom w:val="single" w:sz="4" w:space="1" w:color="DDDDDD"/>
        </w:pBdr>
      </w:pPr>
    </w:p>
    <w:p/>
    <w:p>
      <w:pPr>
        <w:pStyle w:val="Heading1"/>
      </w:pPr>
      <w:r>
        <w:rPr>
          <w:color w:val="5B6DE4"/>
          <w:sz w:val="28"/>
        </w:rPr>
        <w:t>三、今年以来主要政策</w:t>
      </w:r>
    </w:p>
    <w:p>
      <w:r>
        <w:rPr>
          <w:b/>
          <w:sz w:val="24"/>
        </w:rPr>
        <w:t>《人工智能拟人化互动服务管理暂行办法》</w:t>
      </w:r>
    </w:p>
    <w:p>
      <w:r>
        <w:rPr>
          <w:color w:val="646464"/>
          <w:sz w:val="20"/>
        </w:rPr>
        <w:t>文　　号：第21号</w:t>
        <w:br/>
        <w:t>发文机关：国家互联网信息办公室、国家发展改革委、工业和信息化部、公安部、市场监管总局</w:t>
        <w:br/>
        <w:t>发文日期：2026-04-10</w:t>
        <w:br/>
        <w:t>原文链接：https://www.gov.cn/gongbao/2026/issue_12806/202606/content_7072472.html</w:t>
      </w:r>
    </w:p>
    <w:p>
      <w:pPr>
        <w:ind w:left="240"/>
      </w:pPr>
      <w:r>
        <w:t>规范AI拟人化互动服务，明确服务提供者责任与用户权益保护，7月15日起施行。</w:t>
      </w:r>
    </w:p>
    <w:p>
      <w:pPr>
        <w:spacing w:before="0" w:after="80"/>
        <w:pBdr>
          <w:bottom w:val="single" w:sz="4" w:space="1" w:color="DDDDDD"/>
        </w:pBdr>
      </w:pPr>
    </w:p>
    <w:p>
      <w:r>
        <w:rPr>
          <w:b/>
          <w:sz w:val="24"/>
        </w:rPr>
        <w:t>《工业和信息化部办公厅关于实施人工智能科技伦理审查与服务先导计划的通知》</w:t>
      </w:r>
    </w:p>
    <w:p>
      <w:r>
        <w:rPr>
          <w:color w:val="646464"/>
          <w:sz w:val="20"/>
        </w:rPr>
        <w:t>文　　号：暂无</w:t>
        <w:br/>
        <w:t>发文机关：工业和信息化部办公厅</w:t>
        <w:br/>
        <w:t>发文日期：2026-05-14</w:t>
        <w:br/>
        <w:t>原文链接：https://www.miit.gov.cn/jgsj/kjs/wjfb/</w:t>
      </w:r>
    </w:p>
    <w:p>
      <w:pPr>
        <w:ind w:left="240"/>
      </w:pPr>
      <w:r>
        <w:t>启动AI科技伦理审查先导计划，推动人工智能伦理治理体系建设。</w:t>
      </w:r>
    </w:p>
    <w:p>
      <w:pPr>
        <w:spacing w:before="0" w:after="80"/>
        <w:pBdr>
          <w:bottom w:val="single" w:sz="4" w:space="1" w:color="DDDDDD"/>
        </w:pBdr>
      </w:pPr>
    </w:p>
    <w:p>
      <w:r>
        <w:rPr>
          <w:b/>
          <w:sz w:val="24"/>
        </w:rPr>
        <w:t>《网络数据安全风险评估办法》</w:t>
      </w:r>
    </w:p>
    <w:p>
      <w:r>
        <w:rPr>
          <w:color w:val="646464"/>
          <w:sz w:val="20"/>
        </w:rPr>
        <w:t>文　　号：暂无</w:t>
        <w:br/>
        <w:t>发文机关：国家互联网信息办公室、工业和信息化部、公安部</w:t>
        <w:br/>
        <w:t>发文日期：2026-06-18</w:t>
        <w:br/>
        <w:t>原文链接：https://weibo.com/ttarticle/p/show?id=2309405315921706352708</w:t>
      </w:r>
    </w:p>
    <w:p>
      <w:pPr>
        <w:ind w:left="240"/>
      </w:pPr>
      <w:r>
        <w:t>规定重要数据每年、一般数据每三年开展安全风险评估，自2026年8月20日施行。</w:t>
      </w:r>
    </w:p>
    <w:p>
      <w:pPr>
        <w:spacing w:before="0" w:after="80"/>
        <w:pBdr>
          <w:bottom w:val="single" w:sz="4" w:space="1" w:color="DDDDDD"/>
        </w:pBdr>
      </w:pPr>
    </w:p>
    <w:p/>
    <w:p>
      <w:pPr>
        <w:pStyle w:val="Heading1"/>
      </w:pPr>
      <w:r>
        <w:rPr>
          <w:color w:val="5B6DE4"/>
          <w:sz w:val="28"/>
        </w:rPr>
        <w:t>四、未来趋势判断</w:t>
      </w:r>
    </w:p>
    <w:p>
      <w:r>
        <w:rPr>
          <w:b/>
          <w:color w:val="5B6DE4"/>
        </w:rPr>
        <w:t xml:space="preserve">①  </w:t>
      </w:r>
      <w:r>
        <w:t>趋势1（制度建设）：2026年4月发布的《人工智能拟人化互动服务管理暂行办法》将于7月15日正式施行，标志着中国对AI应用场景的监管从“原则性指导”进入“具体场景规制”阶段。该办法聚焦拟人化互动这一高伦理风险领域，明确服务提供者的标识义务、内容审核责任与用户数据保护要求。此举反映出监管层对生成式AI技术快速渗透社交、娱乐、教育等领域的风险预判，后续可能进一步细化至虚拟主播、AI伴侣等细分场景，企业需提前建立合规框架。</w:t>
      </w:r>
    </w:p>
    <w:p>
      <w:r>
        <w:rPr>
          <w:b/>
          <w:color w:val="5B6DE4"/>
        </w:rPr>
        <w:t xml:space="preserve">②  </w:t>
      </w:r>
      <w:r>
        <w:t>趋势2（安全合规）：《网络数据安全风险评估办法》于6月18日发布，要求重要数据处理者每年开展风险评估，一般数据至少每三年一次，并引入第三方评估机构。该办法将数据安全治理从“静态备案”转向“动态评估”，强化了企业的持续合规义务。结合此前《数据安全法》与《个人信息保护法》的实施，数据安全评估正成为常态化监管工具，预计将催生第三方评估服务市场，同时增加企业尤其是中小企业的合规成本。</w:t>
      </w:r>
    </w:p>
    <w:p>
      <w:r>
        <w:rPr>
          <w:b/>
          <w:color w:val="5B6DE4"/>
        </w:rPr>
        <w:t xml:space="preserve">③  </w:t>
      </w:r>
      <w:r>
        <w:t>趋势3（区域算力布局）：天津、贵阳、黑龙江等地相继发布2024-2026年算力产业发展方案，均强调“通用算力+智能算力+超级算力”一体化布局，并注重与东数西算工程衔接。天津方案明确打造京津冀算力高地，贵阳方案依托华为、电信智算中心，黑龙江则聚焦哈尔滨数据中心基地建设。这表明各地正从“抢建数据中心”转向“差异化定位+产业生态培育”，未来区域间算力协同与调度机制将成为政策重点，避免重复建设与资源浪费。</w:t>
      </w:r>
    </w:p>
    <w:p>
      <w:r>
        <w:rPr>
          <w:b/>
          <w:color w:val="5B6DE4"/>
        </w:rPr>
        <w:t xml:space="preserve">④  </w:t>
      </w:r>
      <w:r>
        <w:t>趋势4（产业数字化转型）：北京、福州等地推出制造业数字化转型实施方案与工业互联网补助政策，北京方案明确2024-2026年实施路径，福州对重点项目给予最高200万元补助。政策从“倡导性”转向“资金引导+项目落地”，反映出政府推动工业互联网与实体经济深度融合的决心。但需关注中小企业转型动力不足、数据孤岛等问题，后续可能出台更多针对中小企业的轻量化解决方案与公共服务平台。</w:t>
      </w:r>
    </w:p>
    <w:p>
      <w:r>
        <w:rPr>
          <w:b/>
          <w:color w:val="5B6DE4"/>
        </w:rPr>
        <w:t xml:space="preserve">⑤  </w:t>
      </w:r>
      <w:r>
        <w:t>趋势5（AI伦理治理先行）：工信部于5月启动人工智能科技伦理审查与服务先导计划，这是中国首个专门针对AI伦理的审查试点。该计划旨在建立覆盖技术研发、应用部署全链条的伦理审查机制，与《新一代人工智能伦理规范》形成呼应。此举表明中国在AI伦理治理上正从“软约束”向“硬机制”过渡，未来可能借鉴欧盟《人工智能法案》的风险分级思路，但更强调行业自律与行政指导结合，企业需提前建立内部伦理审查委员会。</w:t>
      </w:r>
    </w:p>
    <w:p>
      <w:r>
        <w:rPr>
          <w:b/>
          <w:color w:val="5B6DE4"/>
        </w:rPr>
        <w:t xml:space="preserve">⑥  </w:t>
      </w:r>
      <w:r>
        <w:t>趋势6（国际比较）：中国《人工智能拟人化互动服务管理暂行办法》与欧盟《人工智能法案》均采用“风险分级”思路，但中国更聚焦具体应用场景（如拟人化互动），而欧盟覆盖更广（从不可接受风险到低风险）。日本则通过《AI战略2026》侧重产业促进与人才培养，监管相对宽松。美国目前尚无联邦层面统一AI立法，主要依赖行业自律与行政令。中国路径兼顾发展与安全，但具体场景监管的细化程度可能超过欧盟，企业需关注跨境AI服务合规差异，尤其是数据跨境流动规则（如中国数据出境安全评估与欧盟GDPR的衔接）。</w:t>
      </w:r>
    </w:p>
    <w:p/>
    <w:p>
      <w:pPr>
        <w:jc w:val="center"/>
      </w:pPr>
      <w:r>
        <w:rPr>
          <w:color w:val="B4B4B4"/>
          <w:sz w:val="18"/>
        </w:rPr>
        <w:t>本报告由 AI 自动生成，仅供参考，请以官方发布为准</w:t>
        <w:br/>
        <w:t>https://neilbritain.github.io/daily-policy-report</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仿宋" w:hAnsi="仿宋"/>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