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生成日期：2026-10-19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部署数字乡村建设五年任务，推进乡村数字基础设施与数据要素应用。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《2026年个人信息保护系列专项行动》</w:t>
      </w:r>
    </w:p>
    <w:p>
      <w:r>
        <w:rPr>
          <w:color w:val="646464"/>
          <w:sz w:val="20"/>
        </w:rPr>
        <w:t>文　　号：暂无</w:t>
        <w:br/>
        <w:t>发文机关：国家互联网信息办公室等</w:t>
        <w:br/>
        <w:t>发文日期：2026-08-20</w:t>
        <w:br/>
        <w:t>原文链接：https://www.cac.gov.cn/wxzw/sjzl/A093708index_1.htm</w:t>
      </w:r>
    </w:p>
    <w:p>
      <w:pPr>
        <w:ind w:left="240"/>
      </w:pPr>
      <w:r>
        <w:t>针对App、人脸识别等场景开展个人信息保护专项治理，通报典型案例。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</w:r>
    </w:p>
    <w:p>
      <w:pPr>
        <w:ind w:left="240"/>
      </w:pPr>
      <w:r>
        <w:t>提出优化互联网基础资源供给，强化域名、IP地址等资源管理与安全保障。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拟对大型个人信息处理者设定专门合规义务，强化个人信息保护监管。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</w:r>
    </w:p>
    <w:p>
      <w:pPr>
        <w:ind w:left="240"/>
      </w:pPr>
      <w:r>
        <w:t>明确汽车数据出境安全评估流程与要求，规范车企数据跨境活动。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《数据出境安全管理政策法规问答（2026年7月）》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发文日期：2026-07-24</w:t>
        <w:br/>
        <w:t>原文链接：https://www.cac.gov.cn/wxzw/sjzl/A093708index_1.htm</w:t>
      </w:r>
    </w:p>
    <w:p>
      <w:pPr>
        <w:ind w:left="240"/>
      </w:pPr>
      <w:r>
        <w:t>以问答形式解读数据出境安全评估、标准合同等制度适用要点。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《“数安中国行”2026年数据安全和个人信息保护政策法规宣讲会（广东站）》</w:t>
      </w:r>
    </w:p>
    <w:p>
      <w:r>
        <w:rPr>
          <w:color w:val="646464"/>
          <w:sz w:val="20"/>
        </w:rPr>
        <w:t>文　　号：暂无</w:t>
        <w:br/>
        <w:t>发文机关：广东省互联网信息办公室等</w:t>
        <w:br/>
        <w:t>发文日期：2026-04-14</w:t>
      </w:r>
    </w:p>
    <w:p>
      <w:pPr>
        <w:ind w:left="240"/>
      </w:pPr>
      <w:r>
        <w:t>面向政府部门和企业宣讲数据安全法规，推动制度落地。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部署数字乡村建设五年任务，推进乡村数字基础设施与数据要素应用。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</w:r>
    </w:p>
    <w:p>
      <w:pPr>
        <w:ind w:left="240"/>
      </w:pPr>
      <w:r>
        <w:t>提出优化互联网基础资源供给，强化域名、IP地址等资源管理与安全保障。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拟对大型个人信息处理者设定专门合规义务，强化个人信息保护监管。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《汽车数据出境安全指引（2026版）》</w:t>
      </w:r>
    </w:p>
    <w:p>
      <w:r>
        <w:rPr>
          <w:color w:val="646464"/>
          <w:sz w:val="20"/>
        </w:rPr>
        <w:t>文　　号：暂无</w:t>
        <w:br/>
        <w:t>发文机关：工业和信息化部等八部门</w:t>
        <w:br/>
        <w:t>发文日期：2026-02-03</w:t>
      </w:r>
    </w:p>
    <w:p>
      <w:pPr>
        <w:ind w:left="240"/>
      </w:pPr>
      <w:r>
        <w:t>明确汽车数据出境安全评估流程与要求，规范车企数据跨境活动。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《数据出境安全管理政策法规问答（2026年7月）》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发文日期：2026-07-24</w:t>
        <w:br/>
        <w:t>原文链接：https://www.cac.gov.cn/wxzw/sjzl/A093708index_1.htm</w:t>
      </w:r>
    </w:p>
    <w:p>
      <w:pPr>
        <w:ind w:left="240"/>
      </w:pPr>
      <w:r>
        <w:t>以问答形式解读数据出境安全评估、标准合同等制度适用要点。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《2026年个人信息保护系列专项行动》</w:t>
      </w:r>
    </w:p>
    <w:p>
      <w:r>
        <w:rPr>
          <w:color w:val="646464"/>
          <w:sz w:val="20"/>
        </w:rPr>
        <w:t>文　　号：暂无</w:t>
        <w:br/>
        <w:t>发文机关：国家互联网信息办公室等</w:t>
        <w:br/>
        <w:t>发文日期：2026-08-20</w:t>
        <w:br/>
        <w:t>原文链接：https://www.cac.gov.cn/wxzw/sjzl/A093708index_1.htm</w:t>
      </w:r>
    </w:p>
    <w:p>
      <w:pPr>
        <w:ind w:left="240"/>
      </w:pPr>
      <w:r>
        <w:t>针对App、人脸识别等场景开展个人信息保护专项治理，通报典型案例。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《“数安中国行”2026年数据安全和个人信息保护政策法规宣讲会（广东站）》</w:t>
      </w:r>
    </w:p>
    <w:p>
      <w:r>
        <w:rPr>
          <w:color w:val="646464"/>
          <w:sz w:val="20"/>
        </w:rPr>
        <w:t>文　　号：暂无</w:t>
        <w:br/>
        <w:t>发文机关：广东省互联网信息办公室等</w:t>
        <w:br/>
        <w:t>发文日期：2026-04-14</w:t>
      </w:r>
    </w:p>
    <w:p>
      <w:pPr>
        <w:ind w:left="240"/>
      </w:pPr>
      <w:r>
        <w:t>面向政府部门和企业宣讲数据安全法规，推动制度落地。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2026年9月网信办发布《数字乡村高质量发展行动计划（2026—2030年）》，将数据要素与数字基础设施向乡村延伸。逻辑：在“数字中国”框架下，政策意图以数字化缩小城乡差距，同时为数据要素市场提供农村场景。研判：下一步将出现县域数据资源整合试点，但需警惕基层数字能力不足导致“重建设轻运营”。</w:t>
      </w:r>
    </w:p>
    <w:p>
      <w:r>
        <w:rPr>
          <w:b/>
          <w:color w:val="5B6DE4"/>
        </w:rPr>
        <w:t xml:space="preserve">②  </w:t>
      </w:r>
      <w:r>
        <w:t>现象：网信办2026年8月就《大型个人信息处理者个人信息保护规定》征求意见，拟对超大型平台设专门合规义务。逻辑：个人信息保护法实施后，监管从“普遍合规”转向“分类分级”，以头部平台为抓手降低系统性风险。研判：正式稿可能引入独立审计与年度报告制度，平台合规成本上升，中小平台或被倒逼退出。</w:t>
      </w:r>
    </w:p>
    <w:p>
      <w:r>
        <w:rPr>
          <w:b/>
          <w:color w:val="5B6DE4"/>
        </w:rPr>
        <w:t xml:space="preserve">③  </w:t>
      </w:r>
      <w:r>
        <w:t>现象：工信部等八部门2026年2月发布《汽车数据出境安全指引（2026版）》，明确出境评估流程。逻辑：智能网联汽车数据跨境需求激增，政策在安全与产业国际化间寻求平衡。研判：后续将扩展至医疗、金融等行业出境指引，企业需建立数据分类分级与出境自评估常态化机制。</w:t>
      </w:r>
    </w:p>
    <w:p>
      <w:r>
        <w:rPr>
          <w:b/>
          <w:color w:val="5B6DE4"/>
        </w:rPr>
        <w:t xml:space="preserve">④  </w:t>
      </w:r>
      <w:r>
        <w:t>现象：2026年7月工信部、网信办、发改委、国家数据局联合发布《关于推动互联网基础资源高质量发展的指导意见》。逻辑：域名、IP地址等基础资源是数字经济底座，政策意在强化自主可控与安全治理。研判：将推动IPv6规模部署与域名解析安全监测，基础资源管理或纳入关键信息基础设施保护体系。</w:t>
      </w:r>
    </w:p>
    <w:p>
      <w:r>
        <w:rPr>
          <w:b/>
          <w:color w:val="5B6DE4"/>
        </w:rPr>
        <w:t xml:space="preserve">⑤  </w:t>
      </w:r>
      <w:r>
        <w:t>现象：2026年8月网信办通报个人信息保护专项行动阶段性成效，聚焦App、人脸识别等场景。逻辑：监管从立法转向执法，以专项行动形成威慑并收集合规基线数据。研判：执法将常态化并公开典型案例，企业需建立个人信息保护影响评估与应急响应机制。</w:t>
      </w:r>
    </w:p>
    <w:p>
      <w:r>
        <w:rPr>
          <w:b/>
          <w:color w:val="5B6DE4"/>
        </w:rPr>
        <w:t xml:space="preserve">⑥  </w:t>
      </w:r>
      <w:r>
        <w:t>现象：中国2026年密集出台数据出境、个人信息保护细则，欧盟AI Act进入实施阶段，美国以行政令推进AI安全。逻辑：三方均强化数据与AI治理，但中国侧重安全与发展并重，欧盟以风险分级立法，美国偏重行政灵活。研判：中国可借鉴欧盟风险分级思路完善AI治理，同时保持跨境数据流动便利化，避免合规碎片化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