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生成日期：2026-08-18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《国家发展改革委 国家数据局将在2026年APEC数字周期间举办数据领域系列活动》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发文日期：2026-08-17</w:t>
        <w:br/>
        <w:t>原文链接：https://www.nda.gov.cn/sjj/index_pc.html</w:t>
      </w:r>
    </w:p>
    <w:p>
      <w:pPr>
        <w:ind w:left="240"/>
      </w:pPr>
      <w:r>
        <w:t>在APEC数字周期间举办数据领域活动，推动国际数据治理合作。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《工业绿色低碳发展十五五规划》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部署工业领域绿色低碳转型，涉及数字化绿色化协同发展。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《国家统计局发布2026年7月居民消费价格数据》</w:t>
      </w:r>
    </w:p>
    <w:p>
      <w:r>
        <w:rPr>
          <w:color w:val="646464"/>
          <w:sz w:val="20"/>
        </w:rPr>
        <w:t>文　　号：暂无</w:t>
        <w:br/>
        <w:t>发文机关：国家统计局</w:t>
        <w:br/>
        <w:t>发文日期：2026-08-04</w:t>
        <w:br/>
        <w:t>原文链接：https://www.stats.gov.cn/sj/</w:t>
      </w:r>
    </w:p>
    <w:p>
      <w:pPr>
        <w:ind w:left="240"/>
      </w:pPr>
      <w:r>
        <w:t>发布7月CPI同比上涨0.5%，反映经济数据变化。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《国家统计局服务业调查中心解读2026年7月中国采购经理指数》</w:t>
      </w:r>
    </w:p>
    <w:p>
      <w:r>
        <w:rPr>
          <w:color w:val="646464"/>
          <w:sz w:val="20"/>
        </w:rPr>
        <w:t>文　　号：暂无</w:t>
        <w:br/>
        <w:t>发文机关：国家统计局</w:t>
        <w:br/>
        <w:t>发文日期：2026-07-31</w:t>
        <w:br/>
        <w:t>原文链接：https://data.stats.gov.cn/</w:t>
      </w:r>
    </w:p>
    <w:p>
      <w:pPr>
        <w:ind w:left="240"/>
      </w:pPr>
      <w:r>
        <w:t>解读7月PMI数据，分析制造业和非制造业景气度。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《上海市公共数据开放平台更新试点银行数据服务》</w:t>
      </w:r>
    </w:p>
    <w:p>
      <w:r>
        <w:rPr>
          <w:color w:val="646464"/>
          <w:sz w:val="20"/>
        </w:rPr>
        <w:t>文　　号：暂无</w:t>
        <w:br/>
        <w:t>发文机关：上海市数据局</w:t>
        <w:br/>
        <w:t>发文日期：2026-07-14</w:t>
        <w:br/>
        <w:t>原文链接：https://data.sh.gov.cn/</w:t>
      </w:r>
    </w:p>
    <w:p>
      <w:pPr>
        <w:ind w:left="240"/>
      </w:pPr>
      <w:r>
        <w:t>试点银行开放数据，推动公共数据社会化利用。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《国家数据局国际数据治理合作司负责人出席APEC数字周筹备会》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发文日期：2026-08-17</w:t>
        <w:br/>
        <w:t>原文链接：https://www.nda.gov.cn/sjj/index_pc.html</w:t>
      </w:r>
    </w:p>
    <w:p>
      <w:pPr>
        <w:ind w:left="240"/>
      </w:pPr>
      <w:r>
        <w:t>参与APEC数字周活动筹备，推动国际数据治理合作。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推动汽车数据高效便利安全跨境流动，明确出境安全评估要求。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《上海市数据局关于征集2025年上海市可信数据空间创新发展试点项目的通知》</w:t>
      </w:r>
    </w:p>
    <w:p>
      <w:r>
        <w:rPr>
          <w:color w:val="646464"/>
          <w:sz w:val="20"/>
        </w:rPr>
        <w:t>文　　号：暂无</w:t>
        <w:br/>
        <w:t>发文机关：上海市数据局</w:t>
        <w:br/>
        <w:t>发文日期：2025-10-13</w:t>
        <w:br/>
        <w:t>原文链接：https://sdb.sh.gov.cn/</w:t>
      </w:r>
    </w:p>
    <w:p>
      <w:pPr>
        <w:ind w:left="240"/>
      </w:pPr>
      <w:r>
        <w:t>征集可信数据空间试点项目，促进数据要素可信流通利用。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原文链接：https://www.cac.gov.cn/2026-06/18/c_1783525609778371.htm</w:t>
      </w:r>
    </w:p>
    <w:p>
      <w:pPr>
        <w:ind w:left="240"/>
      </w:pPr>
      <w:r>
        <w:t>规范网络数据安全风险评估活动，完善数据安全管理机制。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推动汽车数据高效便利安全跨境流动，明确出境安全评估要求。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《工业绿色低碳发展十五五规划》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部署工业领域绿色低碳转型，涉及数字化绿色化协同发展。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《国家数据局国际数据治理合作司负责人出席APEC数字周筹备会》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发文日期：2026-08-17</w:t>
        <w:br/>
        <w:t>原文链接：https://www.nda.gov.cn/sjj/index_pc.html</w:t>
      </w:r>
    </w:p>
    <w:p>
      <w:pPr>
        <w:ind w:left="240"/>
      </w:pPr>
      <w:r>
        <w:t>参与APEC数字周活动筹备，推动国际数据治理合作。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安全风险评估制度落地，合规门槛实质性提高。8月20日《网络数据安全风险评估办法》正式施行，要求数据处理者在重要数据处理前开展风险评估，这标志着数据安全治理从原则性规定走向具体操作。其逻辑在于，随着数据要素市场化加速，风险敞口同步扩大，监管需要前置介入。研判：后续将出台配套技术标准和行业细则，企业合规成本上升，但数据流通的信任基础将增强。</w:t>
      </w:r>
    </w:p>
    <w:p>
      <w:r>
        <w:rPr>
          <w:b/>
          <w:color w:val="5B6DE4"/>
        </w:rPr>
        <w:t xml:space="preserve">②  </w:t>
      </w:r>
      <w:r>
        <w:t>趋势2：汽车数据跨境流动规则细化，产业便利化与安全并重。八部门联合印发《汽车数据出境安全指引（2026版）》，明确出境评估流程和便利化措施。这反映了智能网联汽车全球化布局下，数据跨境成为产业刚需，政策意图是在安全底线之上提升效率。研判：汽车行业将率先形成数据跨境合规样板，其他行业（如金融、医疗）可能效仿，但需警惕评估标准碎片化。</w:t>
      </w:r>
    </w:p>
    <w:p>
      <w:r>
        <w:rPr>
          <w:b/>
          <w:color w:val="5B6DE4"/>
        </w:rPr>
        <w:t xml:space="preserve">③  </w:t>
      </w:r>
      <w:r>
        <w:t>趋势3：工业绿色低碳与数字化协同推进，双化融合成政策新焦点。工信部《工业绿色低碳发展“十五五”规划》强调数字化绿色化协同，利用工业互联网、AI优化能源管理。逻辑在于“双碳”目标倒逼工业转型，而数字技术是降本增效的关键工具。研判：工业互联网平台将加速集成碳核算功能，绿色数据资产可能纳入交易体系，但需统一核算标准。</w:t>
      </w:r>
    </w:p>
    <w:p>
      <w:r>
        <w:rPr>
          <w:b/>
          <w:color w:val="5B6DE4"/>
        </w:rPr>
        <w:t xml:space="preserve">④  </w:t>
      </w:r>
      <w:r>
        <w:t>趋势4：APEC数字周凸显中国数据治理国际话语权诉求。国家数据局在APEC数字周期间举办数据领域系列活动，旨在推广中国数据治理方案，参与国际规则制定。逻辑是数据跨境流动需要多边协调，中国希望从规则接受者转变为制定者。研判：中国可能推动建立亚太数据流动圈，与欧盟、美国形成制度竞争，但需平衡数据主权与开放。</w:t>
      </w:r>
    </w:p>
    <w:p>
      <w:r>
        <w:rPr>
          <w:b/>
          <w:color w:val="5B6DE4"/>
        </w:rPr>
        <w:t xml:space="preserve">⑤  </w:t>
      </w:r>
      <w:r>
        <w:t>趋势5：地方数据局加速可信数据空间试点，数据要素市场化走向实操。上海征集可信数据空间试点项目，探索数据可信流通利用。这反映了国家数据局成立后，地方积极落实数据要素市场化配置改革。逻辑是数据“供不出、流不动”问题突出，可信空间是解决信任机制的关键。研判：试点将催生数据信托、数据经纪人等新业态，但需防范数据垄断和隐私泄露。</w:t>
      </w:r>
    </w:p>
    <w:p>
      <w:r>
        <w:rPr>
          <w:b/>
          <w:color w:val="5B6DE4"/>
        </w:rPr>
        <w:t xml:space="preserve">⑥  </w:t>
      </w:r>
      <w:r>
        <w:t>趋势6（国际比较）：中国数据治理强调安全与发展并重，与欧盟、美国路径分化。欧盟AI Act侧重风险分级监管，美国行政令聚焦AI创新与安全平衡，而中国通过《网络数据安全风险评估办法》等强化事前评估。中国逻辑是“发展安全一体”，欧盟更重权利保护，美国更重创新优先。启示：中国可在风险评估互认、AI标准对接上与欧盟合作，同时借鉴美国敏捷监管经验，避免过度规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