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5B6DE4"/>
          <w:sz w:val="44"/>
        </w:rPr>
        <w:t>数据和信息化政策日报</w:t>
      </w:r>
    </w:p>
    <w:p>
      <w:pPr>
        <w:jc w:val="center"/>
      </w:pPr>
      <w:r>
        <w:rPr>
          <w:color w:val="828282"/>
          <w:sz w:val="22"/>
        </w:rPr>
        <w:t>生成日期：2026-10-24　　数据 · 算力 · 信息化</w:t>
      </w:r>
    </w:p>
    <w:p/>
    <w:p>
      <w:pPr>
        <w:pStyle w:val="Heading1"/>
      </w:pPr>
      <w:r>
        <w:rPr>
          <w:color w:val="5B6DE4"/>
          <w:sz w:val="28"/>
        </w:rPr>
        <w:t>一、过去 24 小时关键政策</w:t>
      </w:r>
    </w:p>
    <w:p/>
    <w:p>
      <w:pPr>
        <w:pStyle w:val="Heading1"/>
      </w:pPr>
      <w:r>
        <w:rPr>
          <w:color w:val="5B6DE4"/>
          <w:sz w:val="28"/>
        </w:rPr>
        <w:t>二、过去一个月主要政策动向</w:t>
      </w:r>
    </w:p>
    <w:p>
      <w:r>
        <w:rPr>
          <w:b/>
          <w:sz w:val="24"/>
        </w:rPr>
        <w:t>《数字乡村高质量发展行动计划（2026—2030年）》</w:t>
      </w:r>
    </w:p>
    <w:p>
      <w:r>
        <w:rPr>
          <w:color w:val="646464"/>
          <w:sz w:val="20"/>
        </w:rPr>
        <w:t>文　　号：暂无</w:t>
        <w:br/>
        <w:t>发文机关：中央网信办等</w:t>
        <w:br/>
        <w:t>发文日期：2026-09-11</w:t>
        <w:br/>
        <w:t>原文链接：https://www.cac.gov.cn/wxzw/zcfg/A093703index_1.htm</w:t>
      </w:r>
    </w:p>
    <w:p>
      <w:pPr>
        <w:ind w:left="240"/>
      </w:pPr>
      <w:r>
        <w:t>部署数字乡村建设，推动数字化绿色化协同转型，强化数据要素赋能。</w:t>
      </w:r>
    </w:p>
    <w:p>
      <w:pPr>
        <w:spacing w:before="0" w:after="80"/>
        <w:pBdr>
          <w:bottom w:val="single" w:sz="4" w:space="1" w:color="DDDDDD"/>
        </w:pBdr>
      </w:pPr>
    </w:p>
    <w:p>
      <w:r>
        <w:rPr>
          <w:b/>
          <w:sz w:val="24"/>
        </w:rPr>
        <w:t>《关于推动互联网基础资源高质量发展的指导意见》</w:t>
      </w:r>
    </w:p>
    <w:p>
      <w:r>
        <w:rPr>
          <w:color w:val="646464"/>
          <w:sz w:val="20"/>
        </w:rPr>
        <w:t>文　　号：暂无</w:t>
        <w:br/>
        <w:t>发文机关：工业和信息化部、中央网信办、国家发展改革委、国家数据局</w:t>
        <w:br/>
        <w:t>发文日期：2026-07-01</w:t>
        <w:br/>
        <w:t>原文链接：https://gyxxh.tj.gov.cn/ZWGK4147/ZCWJ6355/gjjwj/202607/t20260713_7334666.html</w:t>
      </w:r>
    </w:p>
    <w:p>
      <w:pPr>
        <w:ind w:left="240"/>
      </w:pPr>
      <w:r>
        <w:t>四部门联合部署互联网基础资源高质量发展，强化算力网络与数据要素支撑。</w:t>
      </w:r>
    </w:p>
    <w:p>
      <w:pPr>
        <w:spacing w:before="0" w:after="80"/>
        <w:pBdr>
          <w:bottom w:val="single" w:sz="4" w:space="1" w:color="DDDDDD"/>
        </w:pBdr>
      </w:pPr>
    </w:p>
    <w:p>
      <w:r>
        <w:rPr>
          <w:b/>
          <w:sz w:val="24"/>
        </w:rPr>
        <w:t>《大型个人信息处理者个人信息保护规定（征求意见稿）》</w:t>
      </w:r>
    </w:p>
    <w:p>
      <w:r>
        <w:rPr>
          <w:color w:val="646464"/>
          <w:sz w:val="20"/>
        </w:rPr>
        <w:t>文　　号：暂无</w:t>
        <w:br/>
        <w:t>发文机关：国家互联网信息办公室</w:t>
        <w:br/>
        <w:t>发文日期：2026-08-07</w:t>
        <w:br/>
        <w:t>原文链接：https://www.cac.gov.cn/wxzw/sjzl/A093708index_1.htm</w:t>
      </w:r>
    </w:p>
    <w:p>
      <w:pPr>
        <w:ind w:left="240"/>
      </w:pPr>
      <w:r>
        <w:t>拟对大型个人信息处理者设定专门合规义务，强化数据安全治理。</w:t>
      </w:r>
    </w:p>
    <w:p>
      <w:pPr>
        <w:spacing w:before="0" w:after="80"/>
        <w:pBdr>
          <w:bottom w:val="single" w:sz="4" w:space="1" w:color="DDDDDD"/>
        </w:pBdr>
      </w:pPr>
    </w:p>
    <w:p>
      <w:r>
        <w:rPr>
          <w:b/>
          <w:sz w:val="24"/>
        </w:rPr>
        <w:t>《汽车数据出境安全指引（试行）》</w:t>
      </w:r>
    </w:p>
    <w:p>
      <w:r>
        <w:rPr>
          <w:color w:val="646464"/>
          <w:sz w:val="20"/>
        </w:rPr>
        <w:t>文　　号：暂无</w:t>
        <w:br/>
        <w:t>发文机关：工业和信息化部、国家网信办、国家发展改革委等八部门</w:t>
        <w:br/>
        <w:t>发文日期：2026-02-03</w:t>
      </w:r>
    </w:p>
    <w:p>
      <w:pPr>
        <w:ind w:left="240"/>
      </w:pPr>
      <w:r>
        <w:t>八部门联合规范汽车数据出境活动，明确安全评估与合规路径。</w:t>
      </w:r>
    </w:p>
    <w:p>
      <w:pPr>
        <w:spacing w:before="0" w:after="80"/>
        <w:pBdr>
          <w:bottom w:val="single" w:sz="4" w:space="1" w:color="DDDDDD"/>
        </w:pBdr>
      </w:pPr>
    </w:p>
    <w:p>
      <w:r>
        <w:rPr>
          <w:b/>
          <w:sz w:val="24"/>
        </w:rPr>
        <w:t>《天津市算力产业发展实施方案（2024—2026年）》</w:t>
      </w:r>
    </w:p>
    <w:p>
      <w:r>
        <w:rPr>
          <w:color w:val="646464"/>
          <w:sz w:val="20"/>
        </w:rPr>
        <w:t>文　　号：暂无</w:t>
        <w:br/>
        <w:t>发文机关：天津市人民政府办公厅</w:t>
        <w:br/>
        <w:t>发文日期：2024-07-22</w:t>
        <w:br/>
        <w:t>原文链接：https://gyxxh.tj.gov.cn/ZWGK4147/ZCWJ6355/sjwj/202407/t20240722_6681036.html</w:t>
      </w:r>
    </w:p>
    <w:p>
      <w:pPr>
        <w:ind w:left="240"/>
      </w:pPr>
      <w:r>
        <w:t>统筹通用、智能、超级算力一体化布局，打造京津冀算力产业高地。</w:t>
      </w:r>
    </w:p>
    <w:p>
      <w:pPr>
        <w:spacing w:before="0" w:after="80"/>
        <w:pBdr>
          <w:bottom w:val="single" w:sz="4" w:space="1" w:color="DDDDDD"/>
        </w:pBdr>
      </w:pPr>
    </w:p>
    <w:p/>
    <w:p>
      <w:pPr>
        <w:pStyle w:val="Heading1"/>
      </w:pPr>
      <w:r>
        <w:rPr>
          <w:color w:val="5B6DE4"/>
          <w:sz w:val="28"/>
        </w:rPr>
        <w:t>三、今年以来主要政策</w:t>
      </w:r>
    </w:p>
    <w:p>
      <w:r>
        <w:rPr>
          <w:b/>
          <w:sz w:val="24"/>
        </w:rPr>
        <w:t>《关于推动互联网基础资源高质量发展的指导意见》</w:t>
      </w:r>
    </w:p>
    <w:p>
      <w:r>
        <w:rPr>
          <w:color w:val="646464"/>
          <w:sz w:val="20"/>
        </w:rPr>
        <w:t>文　　号：暂无</w:t>
        <w:br/>
        <w:t>发文机关：工业和信息化部、中央网信办、国家发展改革委、国家数据局</w:t>
        <w:br/>
        <w:t>发文日期：2026-07-01</w:t>
        <w:br/>
        <w:t>原文链接：https://gyxxh.tj.gov.cn/ZWGK4147/ZCWJ6355/gjjwj/202607/t20260713_7334666.html</w:t>
      </w:r>
    </w:p>
    <w:p>
      <w:pPr>
        <w:ind w:left="240"/>
      </w:pPr>
      <w:r>
        <w:t>四部门联合部署互联网基础资源高质量发展，强化算力网络与数据要素支撑。</w:t>
      </w:r>
    </w:p>
    <w:p>
      <w:pPr>
        <w:spacing w:before="0" w:after="80"/>
        <w:pBdr>
          <w:bottom w:val="single" w:sz="4" w:space="1" w:color="DDDDDD"/>
        </w:pBdr>
      </w:pPr>
    </w:p>
    <w:p>
      <w:r>
        <w:rPr>
          <w:b/>
          <w:sz w:val="24"/>
        </w:rPr>
        <w:t>《数字乡村高质量发展行动计划（2026—2030年）》</w:t>
      </w:r>
    </w:p>
    <w:p>
      <w:r>
        <w:rPr>
          <w:color w:val="646464"/>
          <w:sz w:val="20"/>
        </w:rPr>
        <w:t>文　　号：暂无</w:t>
        <w:br/>
        <w:t>发文机关：中央网信办等</w:t>
        <w:br/>
        <w:t>发文日期：2026-09-11</w:t>
        <w:br/>
        <w:t>原文链接：https://www.cac.gov.cn/wxzw/zcfg/A093703index_1.htm</w:t>
      </w:r>
    </w:p>
    <w:p>
      <w:pPr>
        <w:ind w:left="240"/>
      </w:pPr>
      <w:r>
        <w:t>部署数字乡村建设，推动数字化绿色化协同转型，强化数据要素赋能。</w:t>
      </w:r>
    </w:p>
    <w:p>
      <w:pPr>
        <w:spacing w:before="0" w:after="80"/>
        <w:pBdr>
          <w:bottom w:val="single" w:sz="4" w:space="1" w:color="DDDDDD"/>
        </w:pBdr>
      </w:pPr>
    </w:p>
    <w:p>
      <w:r>
        <w:rPr>
          <w:b/>
          <w:sz w:val="24"/>
        </w:rPr>
        <w:t>《大型个人信息处理者个人信息保护规定（征求意见稿）》</w:t>
      </w:r>
    </w:p>
    <w:p>
      <w:r>
        <w:rPr>
          <w:color w:val="646464"/>
          <w:sz w:val="20"/>
        </w:rPr>
        <w:t>文　　号：暂无</w:t>
        <w:br/>
        <w:t>发文机关：国家互联网信息办公室</w:t>
        <w:br/>
        <w:t>发文日期：2026-08-07</w:t>
        <w:br/>
        <w:t>原文链接：https://www.cac.gov.cn/wxzw/sjzl/A093708index_1.htm</w:t>
      </w:r>
    </w:p>
    <w:p>
      <w:pPr>
        <w:ind w:left="240"/>
      </w:pPr>
      <w:r>
        <w:t>拟对大型个人信息处理者设定专门合规义务，强化数据安全治理。</w:t>
      </w:r>
    </w:p>
    <w:p>
      <w:pPr>
        <w:spacing w:before="0" w:after="80"/>
        <w:pBdr>
          <w:bottom w:val="single" w:sz="4" w:space="1" w:color="DDDDDD"/>
        </w:pBdr>
      </w:pPr>
    </w:p>
    <w:p>
      <w:r>
        <w:rPr>
          <w:b/>
          <w:sz w:val="24"/>
        </w:rPr>
        <w:t>《汽车数据出境安全指引（试行）》</w:t>
      </w:r>
    </w:p>
    <w:p>
      <w:r>
        <w:rPr>
          <w:color w:val="646464"/>
          <w:sz w:val="20"/>
        </w:rPr>
        <w:t>文　　号：暂无</w:t>
        <w:br/>
        <w:t>发文机关：工业和信息化部、国家网信办、国家发展改革委等八部门</w:t>
        <w:br/>
        <w:t>发文日期：2026-02-03</w:t>
      </w:r>
    </w:p>
    <w:p>
      <w:pPr>
        <w:ind w:left="240"/>
      </w:pPr>
      <w:r>
        <w:t>八部门联合规范汽车数据出境活动，明确安全评估与合规路径。</w:t>
      </w:r>
    </w:p>
    <w:p>
      <w:pPr>
        <w:spacing w:before="0" w:after="80"/>
        <w:pBdr>
          <w:bottom w:val="single" w:sz="4" w:space="1" w:color="DDDDDD"/>
        </w:pBdr>
      </w:pPr>
    </w:p>
    <w:p/>
    <w:p>
      <w:pPr>
        <w:pStyle w:val="Heading1"/>
      </w:pPr>
      <w:r>
        <w:rPr>
          <w:color w:val="5B6DE4"/>
          <w:sz w:val="28"/>
        </w:rPr>
        <w:t>四、未来趋势判断</w:t>
      </w:r>
    </w:p>
    <w:p>
      <w:r>
        <w:rPr>
          <w:b/>
          <w:color w:val="5B6DE4"/>
        </w:rPr>
        <w:t xml:space="preserve">①  </w:t>
      </w:r>
      <w:r>
        <w:t>现象：2026年7月工信部等四部门联合印发《关于推动互联网基础资源高质量发展的指导意见》，首次将互联网基础资源与算力网络、数据要素统筹部署。逻辑：政策意图在于从底层资源层面打通“网络—算力—数据”链条，为东数西算和智能计算提供基础支撑，体现从单一要素治理向系统集成治理的转变。研判：下一步地方将密集出台配套实施方案，重点省市可能在算力调度平台和基础资源管理上先行先试，需关注跨部门协调成本和重复建设风险。</w:t>
      </w:r>
    </w:p>
    <w:p>
      <w:r>
        <w:rPr>
          <w:b/>
          <w:color w:val="5B6DE4"/>
        </w:rPr>
        <w:t xml:space="preserve">②  </w:t>
      </w:r>
      <w:r>
        <w:t>现象：国家网信办2026年8月就《大型个人信息处理者个人信息保护规定（征求意见稿）》公开征求意见，拟对超大规模平台设定专门合规义务。逻辑：这标志着数据治理从普遍适用规则转向“抓大放小”的分类分级监管，针对大型平台的数据集中风险实施精准约束。研判：正式稿可能引入独立审计和年度报告制度，头部平台合规成本上升，中小平台则获得相对宽松空间，行业分化将加剧。</w:t>
      </w:r>
    </w:p>
    <w:p>
      <w:r>
        <w:rPr>
          <w:b/>
          <w:color w:val="5B6DE4"/>
        </w:rPr>
        <w:t xml:space="preserve">③  </w:t>
      </w:r>
      <w:r>
        <w:t>现象：八部门2026年2月联合发布汽车数据出境安全指引，明确汽车数据出境的安全评估路径。逻辑：智能网联汽车产生大量地理、道路和用户数据，政策意在平衡产业国际化与国家安全，为数据跨境提供行业化操作规范。研判：汽车行业将成为数据跨境分类管理的试验田，后续可能向医疗、金融等行业推广，企业需提前建立数据分类分级和出境合规体系。</w:t>
      </w:r>
    </w:p>
    <w:p>
      <w:r>
        <w:rPr>
          <w:b/>
          <w:color w:val="5B6DE4"/>
        </w:rPr>
        <w:t xml:space="preserve">④  </w:t>
      </w:r>
      <w:r>
        <w:t>现象：中央网信办2026年9月发布《数字乡村高质量发展行动计划（2026—2030年）》，强调数字化绿色化协同转型。逻辑：数字乡村从基础设施建设阶段进入质量提升阶段，政策将数据要素赋能与绿色低碳目标捆绑，体现数字中国建设的纵深推进。研判：县域和农村将成为数字政策落地的新战场，但需警惕数字鸿沟扩大和基层财政配套压力，建议关注后续专项资金安排。</w:t>
      </w:r>
    </w:p>
    <w:p>
      <w:r>
        <w:rPr>
          <w:b/>
          <w:color w:val="5B6DE4"/>
        </w:rPr>
        <w:t xml:space="preserve">⑤  </w:t>
      </w:r>
      <w:r>
        <w:t>现象：天津市2024年出台算力产业发展实施方案，统筹通用、智能、超级算力一体化布局，打造京津冀算力高地。逻辑：地方算力规划与国家东数西算工程形成呼应，地方希望通过算力基础设施吸引AI产业集聚，带动区域经济转型。研判：算力产业地方竞争将加剧，可能出现算力过剩和重复投资问题，国家层面或加强算力统筹调度和能效监管，地方需突出差异化定位。</w:t>
      </w:r>
    </w:p>
    <w:p>
      <w:r>
        <w:rPr>
          <w:b/>
          <w:color w:val="5B6DE4"/>
        </w:rPr>
        <w:t xml:space="preserve">⑥  </w:t>
      </w:r>
      <w:r>
        <w:t>现象：中国2026年密集出台数据出境、个人信息保护、互联网基础资源等政策，欧盟持续推进AI Act落地，美国以行政令和NIST框架引导AI安全，日本则侧重AI研发与产业化。逻辑：三方路径差异明显——中国强调安全与发展并重、以行业化规则落地；欧盟以统一立法构建风险分级监管；美国依赖行政令和标准框架保持灵活性；日本以产业竞争力优先。研判：中国可借鉴欧盟风险分级思路完善AI治理细则，同时保持行业化数据跨境规则的灵活性，避免合规成本过度抑制创新。</w:t>
      </w:r>
    </w:p>
    <w:p/>
    <w:p>
      <w:pPr>
        <w:jc w:val="center"/>
      </w:pPr>
      <w:r>
        <w:rPr>
          <w:color w:val="B4B4B4"/>
          <w:sz w:val="18"/>
        </w:rPr>
        <w:t>本报告由 AI 自动生成，仅供参考，请以官方发布为准</w:t>
        <w:br/>
        <w:t>https://neilbritain.github.io/daily-policy-report</w:t>
      </w:r>
    </w:p>
    <w:sectPr w:rsidR="00FC693F" w:rsidRPr="0006063C" w:rsidSect="00034616">
      <w:pgSz w:w="12240" w:h="15840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/>
    </w:pPr>
    <w:rPr>
      <w:rFonts w:ascii="仿宋" w:hAnsi="仿宋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