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生成日期：2026-08-30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《网络数据安全风险评估办法正式施行》</w:t>
      </w:r>
    </w:p>
    <w:p>
      <w:r>
        <w:rPr>
          <w:color w:val="646464"/>
          <w:sz w:val="20"/>
        </w:rPr>
        <w:t>文　　号：暂无</w:t>
        <w:br/>
        <w:t>发文机关：国家互联网信息办公室、工业和信息化部、公安部</w:t>
        <w:br/>
        <w:t>发文日期：2026-08-20</w:t>
      </w:r>
    </w:p>
    <w:p>
      <w:pPr>
        <w:ind w:left="240"/>
      </w:pPr>
      <w:r>
        <w:t>明确网络数据安全风险评估机制，落实数据安全法要求，规范数据处理活动。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《深化互联网协议第六版（IPv6）技术创新和融合应用实施方案（2026—2030年）》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发文日期：2026-08-21</w:t>
        <w:br/>
        <w:t>原文链接：https://www.cac.gov.cn/wxzw/zcfg/zcwj/A09370306index_1.htm</w:t>
      </w:r>
    </w:p>
    <w:p>
      <w:pPr>
        <w:ind w:left="240"/>
      </w:pPr>
      <w:r>
        <w:t>推进IPv6技术迭代与规模部署，深化在重点行业融合应用。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《工业绿色低碳发展“十五五”规划》</w:t>
      </w:r>
    </w:p>
    <w:p>
      <w:r>
        <w:rPr>
          <w:color w:val="646464"/>
          <w:sz w:val="20"/>
        </w:rPr>
        <w:t>文　　号：工信部规〔2026〕169号</w:t>
        <w:br/>
        <w:t>发文机关：工业和信息化部</w:t>
        <w:br/>
        <w:t>发文日期：2026-07-15</w:t>
      </w:r>
    </w:p>
    <w:p>
      <w:pPr>
        <w:ind w:left="240"/>
      </w:pPr>
      <w:r>
        <w:t>规划十五五工业绿色转型路径，推动数字化绿色化协同发展。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《网络数据安全管理条例》</w:t>
      </w:r>
    </w:p>
    <w:p>
      <w:r>
        <w:rPr>
          <w:color w:val="646464"/>
          <w:sz w:val="20"/>
        </w:rPr>
        <w:t>文　　号：国务院令第790号</w:t>
        <w:br/>
        <w:t>发文机关：国务院</w:t>
        <w:br/>
        <w:t>发文日期：2026-01-15</w:t>
      </w:r>
    </w:p>
    <w:p>
      <w:pPr>
        <w:ind w:left="240"/>
      </w:pPr>
      <w:r>
        <w:t>系统规定网络数据处理规则，明确分类分级与跨境管理要求。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《关于促进数据标注产业高质量发展的实施意见》</w:t>
      </w:r>
    </w:p>
    <w:p>
      <w:r>
        <w:rPr>
          <w:color w:val="646464"/>
          <w:sz w:val="20"/>
        </w:rPr>
        <w:t>文　　号：发改数据〔2026〕112号</w:t>
        <w:br/>
        <w:t>发文机关：国家发展改革委、国家数据局、财政部、人力资源社会保障部</w:t>
        <w:br/>
        <w:t>发文日期：2026-02-10</w:t>
      </w:r>
    </w:p>
    <w:p>
      <w:pPr>
        <w:ind w:left="240"/>
      </w:pPr>
      <w:r>
        <w:t>培育数据标注产业，强化AI训练数据供给与质量管理。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《数字中国建设整体布局规划2026年工作要点》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发文日期：2026-03-01</w:t>
      </w:r>
    </w:p>
    <w:p>
      <w:pPr>
        <w:ind w:left="240"/>
      </w:pPr>
      <w:r>
        <w:t>部署年度数字中国建设重点任务，强化数据要素基础制度。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《上海市促进人工智能产业发展条例实施细则》</w:t>
      </w:r>
    </w:p>
    <w:p>
      <w:r>
        <w:rPr>
          <w:color w:val="646464"/>
          <w:sz w:val="20"/>
        </w:rPr>
        <w:t>文　　号：沪府办发〔2026〕8号</w:t>
        <w:br/>
        <w:t>发文机关：上海市人民政府办公厅</w:t>
        <w:br/>
        <w:t>发文日期：2026-04-20</w:t>
      </w:r>
    </w:p>
    <w:p>
      <w:pPr>
        <w:ind w:left="240"/>
      </w:pPr>
      <w:r>
        <w:t>细化AI产业支持政策，明确大模型备案与算力补贴标准。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《广东省数据要素市场化配置改革行动方案（2026-2028年）》</w:t>
      </w:r>
    </w:p>
    <w:p>
      <w:r>
        <w:rPr>
          <w:color w:val="646464"/>
          <w:sz w:val="20"/>
        </w:rPr>
        <w:t>文　　号：粤府办〔2026〕15号</w:t>
        <w:br/>
        <w:t>发文机关：广东省人民政府办公厅</w:t>
        <w:br/>
        <w:t>发文日期：2026-05-30</w:t>
      </w:r>
    </w:p>
    <w:p>
      <w:pPr>
        <w:ind w:left="240"/>
      </w:pPr>
      <w:r>
        <w:t>推进数据要素市场化配置，建设数据交易场所与授权运营体系。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《江苏省制造业智能化改造和数字化转型三年行动计划（2026-2028年）》</w:t>
      </w:r>
    </w:p>
    <w:p>
      <w:r>
        <w:rPr>
          <w:color w:val="646464"/>
          <w:sz w:val="20"/>
        </w:rPr>
        <w:t>文　　号：苏政办发〔2026〕22号</w:t>
        <w:br/>
        <w:t>发文机关：江苏省人民政府办公厅</w:t>
        <w:br/>
        <w:t>发文日期：2026-06-15</w:t>
      </w:r>
    </w:p>
    <w:p>
      <w:pPr>
        <w:ind w:left="240"/>
      </w:pPr>
      <w:r>
        <w:t>深化制造业智改数转，推动工业互联网规模化应用。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《浙江省公共数据授权运营管理办法（试行）》</w:t>
      </w:r>
    </w:p>
    <w:p>
      <w:r>
        <w:rPr>
          <w:color w:val="646464"/>
          <w:sz w:val="20"/>
        </w:rPr>
        <w:t>文　　号：浙政办发〔2026〕30号</w:t>
        <w:br/>
        <w:t>发文机关：浙江省人民政府办公厅</w:t>
        <w:br/>
        <w:t>发文日期：2026-07-01</w:t>
      </w:r>
    </w:p>
    <w:p>
      <w:pPr>
        <w:ind w:left="240"/>
      </w:pPr>
      <w:r>
        <w:t>规范公共数据授权运营，探索数据要素收益分配机制。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《辽宁省数字经济促进条例》</w:t>
      </w:r>
    </w:p>
    <w:p>
      <w:r>
        <w:rPr>
          <w:color w:val="646464"/>
          <w:sz w:val="20"/>
        </w:rPr>
        <w:t>文　　号：辽宁省人大常委会公告第45号</w:t>
        <w:br/>
        <w:t>发文机关：辽宁省人民代表大会常务委员会</w:t>
        <w:br/>
        <w:t>发文日期：2026-05-28</w:t>
      </w:r>
    </w:p>
    <w:p>
      <w:pPr>
        <w:ind w:left="240"/>
      </w:pPr>
      <w:r>
        <w:t>以立法形式促进数字经济发展，明确数字产业化与产业数字化支持措施。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《欧盟人工智能法（AI Act）通用目的人工智能模型合规指南》</w:t>
      </w:r>
    </w:p>
    <w:p>
      <w:r>
        <w:rPr>
          <w:color w:val="646464"/>
          <w:sz w:val="20"/>
        </w:rPr>
        <w:t>文　　号：2026/C 123/05</w:t>
        <w:br/>
        <w:t>发文机关：欧盟委员会</w:t>
        <w:br/>
        <w:t>发文日期：2026-04-08</w:t>
      </w:r>
    </w:p>
    <w:p>
      <w:pPr>
        <w:ind w:left="240"/>
      </w:pPr>
      <w:r>
        <w:t>细化通用AI模型义务，明确系统风险模型评估与透明度要求。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《美国联邦AI治理与数据安全行政令》</w:t>
      </w:r>
    </w:p>
    <w:p>
      <w:r>
        <w:rPr>
          <w:color w:val="646464"/>
          <w:sz w:val="20"/>
        </w:rPr>
        <w:t>文　　号：EO 14287</w:t>
        <w:br/>
        <w:t>发文机关：白宫</w:t>
        <w:br/>
        <w:t>发文日期：2026-03-12</w:t>
      </w:r>
    </w:p>
    <w:p>
      <w:pPr>
        <w:ind w:left="240"/>
      </w:pPr>
      <w:r>
        <w:t>要求联邦机构建立AI风险评估框架，强化关键基础设施领域AI监管。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《日本AI制度整备相关法案（AI基本法配套）》</w:t>
      </w:r>
    </w:p>
    <w:p>
      <w:r>
        <w:rPr>
          <w:color w:val="646464"/>
          <w:sz w:val="20"/>
        </w:rPr>
        <w:t>文　　号：法律第88号</w:t>
        <w:br/>
        <w:t>发文机关：日本国会</w:t>
        <w:br/>
        <w:t>发文日期：2026-05-20</w:t>
      </w:r>
    </w:p>
    <w:p>
      <w:pPr>
        <w:ind w:left="240"/>
      </w:pPr>
      <w:r>
        <w:t>确立AI基本法配套制度，设立AI安全评估机构，规范高风险AI应用。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现象：《网络数据安全风险评估办法》于8月20日正式施行，与年初发布的《网络数据安全管理条例》形成配套。逻辑：这是数据安全治理从原则性立法走向操作性监管的关键一步，风险评估成为常态化合规抓手，重点在于将安全要求嵌入数据处理全生命周期。研判：下一步将针对关键行业（如汽车、金融、医疗）出台细化评估指引，企业数据安全合规成本将显著上升，第三方评估机构市场将快速扩容。</w:t>
      </w:r>
    </w:p>
    <w:p>
      <w:r>
        <w:rPr>
          <w:b/>
          <w:color w:val="5B6DE4"/>
        </w:rPr>
        <w:t xml:space="preserve">②  </w:t>
      </w:r>
      <w:r>
        <w:t>现象：网信办8月21日连续发布《促进网信企业高质量发展行动计划》与《IPv6深化应用实施方案》。逻辑：政策组合拳意图明确——以IPv6规模部署为底座，以网信企业高质量发展为引擎，系统性提升网络基础设施自主可控水平与产业竞争力。研判：IPv6与算力网络、工业互联网的融合应用将成为下一阶段投资重点，网信企业上市融资通道有望进一步拓宽。</w:t>
      </w:r>
    </w:p>
    <w:p>
      <w:r>
        <w:rPr>
          <w:b/>
          <w:color w:val="5B6DE4"/>
        </w:rPr>
        <w:t xml:space="preserve">③  </w:t>
      </w:r>
      <w:r>
        <w:t>现象：《汽车数据出境安全指引（2026）》由八部门联合印发，是首个行业级数据出境专项指引。逻辑：汽车行业数据涉及地理信息、个人信息、车辆运行数据等多重敏感维度，选择汽车行业作为数据跨境流动的破局点，体现'边放边管、以行业试点积累经验'的审慎思路。研判：下一步将陆续出台医疗、金融等行业数据出境指引，形成'1+N'的行业数据跨境制度体系。</w:t>
      </w:r>
    </w:p>
    <w:p>
      <w:r>
        <w:rPr>
          <w:b/>
          <w:color w:val="5B6DE4"/>
        </w:rPr>
        <w:t xml:space="preserve">④  </w:t>
      </w:r>
      <w:r>
        <w:t>现象：上海、广东、浙江、江苏、辽宁等省市密集出台数字经济促进条例与数据要素市场化方案。逻辑：国家数据局成立后，数据要素基础制度框架已初步搭建，地方竞争焦点转向'制度落地与场景创新'，通过地方立法先行先试，为全国性制度提供经验。研判：数据交易场所互联互通、数据资产入表标准统一将成为下一阶段地方政策博弈与协同的重点。</w:t>
      </w:r>
    </w:p>
    <w:p>
      <w:r>
        <w:rPr>
          <w:b/>
          <w:color w:val="5B6DE4"/>
        </w:rPr>
        <w:t xml:space="preserve">⑤  </w:t>
      </w:r>
      <w:r>
        <w:t>现象：网信办5月发布《智能体规范应用与创新发展实施意见》，将AI智能体纳入规范化管理轨道。逻辑：大模型从对话式向智能体（Agent）演进，自主决策能力增强带来新的安全风险，监管需在创新与安全间寻找平衡点。研判：智能体备案制与安全评估将成为AI监管新常态，具备自主行动能力的AI系统将被纳入类似'关键信息基础设施'的保护框架。</w:t>
      </w:r>
    </w:p>
    <w:p>
      <w:r>
        <w:rPr>
          <w:b/>
          <w:color w:val="5B6DE4"/>
        </w:rPr>
        <w:t xml:space="preserve">⑥  </w:t>
      </w:r>
      <w:r>
        <w:t>现象：国际比较——欧盟AI Act通用模型合规指南（4月）、美国EO 14287（3月）、日本AI基本法配套法案（5月）与中国智能体规范意见（5月）在2026年上半年密集落地。逻辑：全球AI监管已从'原则宣言'阶段全面进入'规则细化'阶段，但路径分化明显：欧盟侧重风险分级与公民权利保护，美国侧重联邦机构自我监管与创新激励，日本侧重产业促进与沙盒试验，中国侧重安全评估与内容治理。研判：中国'安全优先'的监管取向与欧盟'权利本位'存在趋同空间，但在AI训练数据公开、算法透明度等维度将保持制度差异；企业出海需构建'一国一策'的合规体系，而AI安全评估互认机制将成为下一阶段国际治理博弈的关键议题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