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生成日期：2026-09-02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《人工智能拟人化互动服务管理暂行办法》</w:t>
      </w:r>
    </w:p>
    <w:p>
      <w:r>
        <w:rPr>
          <w:color w:val="646464"/>
          <w:sz w:val="20"/>
        </w:rPr>
        <w:t>文　　号：国家网信办等五部门令第21号</w:t>
        <w:br/>
        <w:t>发文机关：国家互联网信息办公室、国家发展改革委、工业和信息化部、公安部、市场监管总局</w:t>
        <w:br/>
        <w:t>发文日期：2026-07-15</w:t>
        <w:br/>
        <w:t>原文链接：https://www.gov.cn/gongbao/2026/issue_12806/202606/content_7072472.html?webview_progress_bar=1&amp;push_animated=1&amp;show_loading=0&amp;theme=light</w:t>
      </w:r>
    </w:p>
    <w:p>
      <w:pPr>
        <w:ind w:left="240"/>
      </w:pPr>
      <w:r>
        <w:t>规范AI拟人化互动服务，明确备案、标识、内容安全与未成年人保护要求。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发文机关：国家网信办、公安部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为小型个人信息处理者提供合规简化措施，平衡个保义务与营商成本。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深化IPv6技术创新与融合应用，推动下一代互联网规模部署与产业升级。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全面总结2025年国家信息化发展成效，涵盖数字基建、数据要素、数字政府等。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原文链接：https://www.miit.gov.cn/zwgk/zcwj/wjfb/</w:t>
      </w:r>
    </w:p>
    <w:p>
      <w:pPr>
        <w:ind w:left="240"/>
      </w:pPr>
      <w:r>
        <w:t>规划“十五五”工业绿色低碳发展，涉及数字化绿色化协同转型与能效提升。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《修改后的中华人民共和国网络安全法》</w:t>
      </w:r>
    </w:p>
    <w:p>
      <w:r>
        <w:rPr>
          <w:color w:val="646464"/>
          <w:sz w:val="20"/>
        </w:rPr>
        <w:t>文　　号：暂无</w:t>
        <w:br/>
        <w:t>发文机关：全国人民代表大会常务委员会</w:t>
        <w:br/>
        <w:t>发文日期：2026-01-01</w:t>
      </w:r>
    </w:p>
    <w:p>
      <w:pPr>
        <w:ind w:left="240"/>
      </w:pPr>
      <w:r>
        <w:t>新修改的《网络安全法》施行，强化法律责任、加大违法处罚力度。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《APEC数字周系列活动》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发文日期：2026-07-16</w:t>
        <w:br/>
        <w:t>原文链接：https://sc.cnr.cn/scpd/xwsd/20260716/t20260716_527714027.shtml</w:t>
      </w:r>
    </w:p>
    <w:p>
      <w:pPr>
        <w:ind w:left="240"/>
      </w:pPr>
      <w:r>
        <w:t>国家网信办在APEC数字周期间举办系列活动，推动数字合作与规则对接。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《个人信息出境认证专业机构备案》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发文日期：2026-01-08</w:t>
      </w:r>
    </w:p>
    <w:p>
      <w:pPr>
        <w:ind w:left="240"/>
      </w:pPr>
      <w:r>
        <w:t>发布通过备案的个人信息出境认证专业机构名单，完善数据出境合规体系。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2026年8月密集发布《促进网信企业高质量发展行动计划（2026-2030年）》及配套解读，将“网信企业”作为独立政策客体进行系统性制度设计。逻辑：此举旨在通过培育头部网信企业，强化我国在AI、数据、平台经济等领域的国际竞争力，以企业为载体落实数字中国战略。研判：后续或将配套出台税收优惠、政府采购倾斜、上市融资便利等细化措施，网信企业合规成本与政策红利将同步上升，行业集中度可能进一步提高。</w:t>
      </w:r>
    </w:p>
    <w:p>
      <w:r>
        <w:rPr>
          <w:b/>
          <w:color w:val="5B6DE4"/>
        </w:rPr>
        <w:t xml:space="preserve">②  </w:t>
      </w:r>
      <w:r>
        <w:t>现象：《人工智能拟人化互动服务管理暂行办法》于2026年7月15日正式施行，对AI陪伴、虚拟数字人等拟人化服务设定专门监管框架。逻辑：AI拟人化服务快速渗透社交、教育、娱乐等领域，其情感交互特性对用户（尤其未成年人）心理产生深远影响，监管层意图在产业创新与伦理风险间寻求平衡。研判：该办法将推动行业建立“设计即合规”理念，情感计算、深度合成检测等技术合规需求将激增，后续可能出台配套的技术标准与测评体系。</w:t>
      </w:r>
    </w:p>
    <w:p>
      <w:r>
        <w:rPr>
          <w:b/>
          <w:color w:val="5B6DE4"/>
        </w:rPr>
        <w:t xml:space="preserve">③  </w:t>
      </w:r>
      <w:r>
        <w:t>现象：2026年1月1日新修改的《网络安全法》正式施行，同时《网络安全标识管理办法》于6月底出台。逻辑：修法加重了违法处罚力度，标识制度则试图建立网络产品安全可信的市场化信号机制，两者共同构成“硬约束+软引导”的合规组合拳。研判：网络安全合规将从“形式合规”走向“实质合规”，等保测评、漏洞管理、供应链安全等细分领域将迎来新一轮市场洗牌，具备技术实力的专业安全服务商将获得更大市场份额。</w:t>
      </w:r>
    </w:p>
    <w:p>
      <w:r>
        <w:rPr>
          <w:b/>
          <w:color w:val="5B6DE4"/>
        </w:rPr>
        <w:t xml:space="preserve">④  </w:t>
      </w:r>
      <w:r>
        <w:t>现象：国家网信办等11部门联合印发《关于提升境外人员入境数字化服务便利性的实施意见》，聚焦境外人员来华的移动支付、网络接入、App使用等痛点。逻辑：该政策服务于高水平对外开放战略，通过数字化手段优化营商环境，也是“数字中国”建设成果的对外展示窗口。研判：跨境数据流动、国际漫游、境外身份认证等技术与管理创新将加速试点，粤港澳大湾区、海南自贸港等重点区域可能率先落地集成式便利化方案。</w:t>
      </w:r>
    </w:p>
    <w:p>
      <w:r>
        <w:rPr>
          <w:b/>
          <w:color w:val="5B6DE4"/>
        </w:rPr>
        <w:t xml:space="preserve">⑤  </w:t>
      </w:r>
      <w:r>
        <w:t>现象：工信部印发《工业绿色低碳发展“十五五”规划》，将数字化绿色化协同转型作为重要方向。逻辑：数字经济本身的高耗能问题（如数据中心、AI算力）日益突出，政策层开始将“双碳”约束嵌入数字化进程，推动算力基础设施绿色化升级。研判：绿色算力、智能能耗管理、碳足迹追踪等将成为工业互联网与算力基建的新增长点，东数西算枢纽节点的可再生能源配套政策有望进一步加码。</w:t>
      </w:r>
    </w:p>
    <w:p>
      <w:r>
        <w:rPr>
          <w:b/>
          <w:color w:val="5B6DE4"/>
        </w:rPr>
        <w:t xml:space="preserve">⑥  </w:t>
      </w:r>
      <w:r>
        <w:t>现象：国际比较——中国2026年密集出台AI拟人化服务管理、网信企业培育等政策，欧盟在《AI法案》分级监管框架下推进通用AI模型（GPAI）的实践准则，美国则通过行政令与NIST框架侧重AI安全与创新松绑。逻辑：中国采取“领域立法+产业促进”双轮驱动，欧盟以风险分级构建统一市场规则，美国更依赖自愿性框架与市场自律，三种路径反映各自产业基础与治理哲学差异。研判：全球AI治理碎片化加剧，中国可通过APEC数字周等多边平台输出治理经验，但跨国企业的合规复杂度将持续攀升，需关注主要经济体监管规则的趋同与冲突点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