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《中共中央政治局召开会议》</w:t>
      </w:r>
    </w:p>
    <w:p>
      <w:r>
        <w:rPr>
          <w:color w:val="646464"/>
          <w:sz w:val="20"/>
        </w:rPr>
        <w:t>文　　号：暂无</w:t>
        <w:br/>
        <w:t>发文机关：中共中央政治局</w:t>
        <w:br/>
        <w:t>发文日期：2026-07-01</w:t>
      </w:r>
    </w:p>
    <w:p>
      <w:pPr>
        <w:ind w:left="240"/>
      </w:pPr>
      <w:r>
        <w:t>会议研究当前经济形势，部署下半年经济工作，涉及数字经济发展方向。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《三部门关于组织实施2026年首台（套）重大技术装备保险补偿政策的通知》</w:t>
      </w:r>
    </w:p>
    <w:p>
      <w:r>
        <w:rPr>
          <w:color w:val="646464"/>
          <w:sz w:val="20"/>
        </w:rPr>
        <w:t>文　　号：暂无</w:t>
        <w:br/>
        <w:t>发文机关：工业和信息化部、财政部、金融监管总局</w:t>
        <w:br/>
        <w:t>发文日期：2026-06-23</w:t>
        <w:br/>
        <w:t>原文链接：https://www.miit.gov.cn/xbymdz/zwgk/index.html</w:t>
      </w:r>
    </w:p>
    <w:p>
      <w:pPr>
        <w:ind w:left="240"/>
      </w:pPr>
      <w:r>
        <w:t>支持重大技术装备创新，推动高端装备在算力、智能制造等领域应用。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发文日期：2026-06-22</w:t>
        <w:br/>
        <w:t>原文链接：https://www.ndrc.gov.cn/fzggw/wld/llh/zyhd/index.html</w:t>
      </w:r>
    </w:p>
    <w:p>
      <w:pPr>
        <w:ind w:left="240"/>
      </w:pPr>
      <w:r>
        <w:t>调研数据要素市场化配置改革进展，推动数据资产化与流通。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《国家网信办等五部门联合公布《互联网信息内容多渠道分发服务管理规定》》</w:t>
      </w:r>
    </w:p>
    <w:p>
      <w:r>
        <w:rPr>
          <w:color w:val="646464"/>
          <w:sz w:val="20"/>
        </w:rPr>
        <w:t>文　　号：暂无</w:t>
        <w:br/>
        <w:t>发文机关：国家网信办、工信部、公安部、文旅部、市场监管总局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规范MCN等平台内容分发，强化算法与内容治理。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《刘烈宏赴广州市开展调研》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调研数据基础设施建设及数据跨境流动试点情况。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培训地方干部，推动数字中国建设与数据要素改革落地。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《刘烈宏出席数据安全发展大会开幕式并启动2026年‘数据要素×’大赛》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以赛促用，推动数据要素在工业、金融等领域的乘数效应。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《刘烈宏主持召开词元经济座谈会》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探讨数据作为新型生产要素的经济学理论，为政策制定提供支撑。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《中央网信办等四部门印发《2026年提升全民数字素养与技能工作要点》》</w:t>
      </w:r>
    </w:p>
    <w:p>
      <w:r>
        <w:rPr>
          <w:color w:val="646464"/>
          <w:sz w:val="20"/>
        </w:rPr>
        <w:t>文　　号：暂无</w:t>
        <w:br/>
        <w:t>发文机关：中央网信办、教育部、人社部、工信部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部署数字技能培训，适应AI与数字化转型需求。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《《促进平台经济大中小企业协同发展行动方案》》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发文机关：工业和信息化部、国家网信办、国家发展改革委等</w:t>
        <w:br/>
        <w:t>发文日期：2026-06-01</w:t>
        <w:br/>
        <w:t>原文链接：https://www.miit.gov.cn/zwgk/zcwj/</w:t>
      </w:r>
    </w:p>
    <w:p>
      <w:pPr>
        <w:ind w:left="240"/>
      </w:pPr>
      <w:r>
        <w:t>促进平台经济领域大中小企业融通，规范算法与数据竞争。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《《汽车数据出境安全指引（2026版）》》</w:t>
      </w:r>
    </w:p>
    <w:p>
      <w:r>
        <w:rPr>
          <w:color w:val="646464"/>
          <w:sz w:val="20"/>
        </w:rPr>
        <w:t>文　　号：暂无</w:t>
        <w:br/>
        <w:t>发文机关：工信部、国家网信办、国家发展改革委、国家数据局等八部门</w:t>
        <w:br/>
        <w:t>发文日期：2026-02-04</w:t>
      </w:r>
    </w:p>
    <w:p>
      <w:pPr>
        <w:ind w:left="240"/>
      </w:pPr>
      <w:r>
        <w:t>建立汽车数据跨境流动机制，提升数据出境便利化水平。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《《推动工业互联网平台高质量发展行动方案（2026—2028年）》》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发文日期：2026-01-19</w:t>
        <w:br/>
        <w:t>原文链接：https://www.miiteec.org.cn/news_list?type=3</w:t>
      </w:r>
    </w:p>
    <w:p>
      <w:pPr>
        <w:ind w:left="240"/>
      </w:pPr>
      <w:r>
        <w:t>明确工业互联网平台发展目标，强化数据安全与AI融合。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《《“人工智能+制造”专项行动实施意见》》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发文日期：2026-01-13</w:t>
        <w:br/>
        <w:t>原文链接：https://www.miiteec.org.cn/news_list?type=3</w:t>
      </w:r>
    </w:p>
    <w:p>
      <w:pPr>
        <w:ind w:left="240"/>
      </w:pPr>
      <w:r>
        <w:t>推动AI在制造业全流程应用，培育智能工厂与工业大模型。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《《关于开展零碳工厂建设工作的指导意见》》</w:t>
      </w:r>
    </w:p>
    <w:p>
      <w:r>
        <w:rPr>
          <w:color w:val="646464"/>
          <w:sz w:val="20"/>
        </w:rPr>
        <w:t>文　　号：暂无</w:t>
        <w:br/>
        <w:t>发文机关：工业和信息化部等五部门</w:t>
        <w:br/>
        <w:t>发文日期：2026-01-19</w:t>
        <w:br/>
        <w:t>原文链接：https://www.miiteec.org.cn/news_list?type=3</w:t>
      </w:r>
    </w:p>
    <w:p>
      <w:pPr>
        <w:ind w:left="240"/>
      </w:pPr>
      <w:r>
        <w:t>推动制造业绿色化与数字化协同，算力中心节能降碳。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《《关于加快招标投标领域人工智能推广应用的实施意见》》</w:t>
      </w:r>
    </w:p>
    <w:p>
      <w:r>
        <w:rPr>
          <w:color w:val="646464"/>
          <w:sz w:val="20"/>
        </w:rPr>
        <w:t>文　　号：发改法规〔2026〕</w:t>
        <w:br/>
        <w:t>发文机关：国家发展改革委</w:t>
        <w:br/>
        <w:t>发文日期：2026-03-11</w:t>
      </w:r>
    </w:p>
    <w:p>
      <w:pPr>
        <w:ind w:left="240"/>
      </w:pPr>
      <w:r>
        <w:t>推广AI在招投标中的应用，提升监管效率与公平性。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《《可能影响未成年人身心健康的网络信息分类办法》》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发文日期：2026-01-28</w:t>
        <w:br/>
        <w:t>原文链接：https://www.cac.gov.cn/wxzw/zcfg/gfxwj/A09370305index_1.htm</w:t>
      </w:r>
    </w:p>
    <w:p>
      <w:pPr>
        <w:ind w:left="240"/>
      </w:pPr>
      <w:r>
        <w:t>细化网络信息分类，强化算法推荐对未成年人的保护。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从数据要素市场化到‘词元经济’概念提出，国家数据局正加速构建数据作为生产要素的理论与制度框架。2026年5月刘烈宏主持召开词元经济座谈会，标志着数据经济学从学术探讨进入政策设计阶段。下一步，数据确权、定价、交易规则将密集出台，但如何平衡数据流通与隐私保护仍是核心挑战。</w:t>
      </w:r>
    </w:p>
    <w:p>
      <w:r>
        <w:rPr>
          <w:b/>
          <w:color w:val="5B6DE4"/>
        </w:rPr>
        <w:t xml:space="preserve">②  </w:t>
      </w:r>
      <w:r>
        <w:t>趋势2（技术路线）：‘人工智能+制造’专项行动与‘模数共振’行动（工信部、国家数据局联合）表明，政策重心正从单纯的大模型研发转向模型与行业数据的深度耦合。2026年上海、浙江等地已启动‘AI+工业’项目申报，预计下半年将涌现一批工业大模型标杆案例，但中小企业数据孤岛问题可能制约规模化推广。</w:t>
      </w:r>
    </w:p>
    <w:p>
      <w:r>
        <w:rPr>
          <w:b/>
          <w:color w:val="5B6DE4"/>
        </w:rPr>
        <w:t xml:space="preserve">③  </w:t>
      </w:r>
      <w:r>
        <w:t>趋势3（区域格局）：东数西算进入落地深化期，天津、贵阳、哈尔滨等城市相继发布算力产业实施方案（2024-2026年），强调智能算力与超算协同。天津方案明确提出‘算力、数据、算法一体化’，贵阳则聚焦国家数据训练基地建设。区域间算力资源竞争加剧，西部枢纽需警惕‘重建设、轻运营’导致的算力闲置风险。</w:t>
      </w:r>
    </w:p>
    <w:p>
      <w:r>
        <w:rPr>
          <w:b/>
          <w:color w:val="5B6DE4"/>
        </w:rPr>
        <w:t xml:space="preserve">④  </w:t>
      </w:r>
      <w:r>
        <w:t>趋势4（产业影响）：平台经济政策转向‘促协同’与‘强监管’并重。2026年6月发布的《促进平台经济大中小企业协同发展行动方案》与《互联网信息内容多渠道分发服务管理规定》形成组合拳，前者鼓励大平台开放数据与算力资源带动中小企业，后者则强化MCN等中介的算法合规责任。平台企业合规成本将上升，但生态开放度有望提升。</w:t>
      </w:r>
    </w:p>
    <w:p>
      <w:r>
        <w:rPr>
          <w:b/>
          <w:color w:val="5B6DE4"/>
        </w:rPr>
        <w:t xml:space="preserve">⑤  </w:t>
      </w:r>
      <w:r>
        <w:t>趋势5（安全合规）：数据跨境流动规则加速细化，2026年2月八部门联合发布《汽车数据出境安全指引》，为特定行业数据出境提供‘绿色通道’。与此同时，《国家网络安全事件报告管理办法》要求强制上报安全事件，企业数据安全治理从‘被动合规’转向‘主动防御’。预计下半年更多行业（如金融、医疗）将出台类似指引。</w:t>
      </w:r>
    </w:p>
    <w:p>
      <w:r>
        <w:rPr>
          <w:b/>
          <w:color w:val="5B6DE4"/>
        </w:rPr>
        <w:t xml:space="preserve">⑥  </w:t>
      </w:r>
      <w:r>
        <w:t>趋势6（国际比较）：中国在AI治理上走‘发展优先、安全并重’路线，2026年密集出台‘人工智能+制造’、‘模数共振’等产业促进政策，而欧盟同期推进《AI法案》分级监管，美国则通过行政令侧重国家安全与隐私保护。中国更强调AI与实体经济融合，欧盟侧重风险防控，美国聚焦技术竞争。中国需警惕过度产业导向可能忽视的伦理与安全漏洞，可借鉴欧盟的风险分级框架完善国内监管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