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生成日期：2026-06-28　　数据 · 算力 · 信息化</w:t>
      </w:r>
    </w:p>
    <w:p/>
    <w:p>
      <w:pPr>
        <w:pStyle w:val="Heading1"/>
      </w:pPr>
      <w:r>
        <w:rPr>
          <w:color w:val="5B6DE4"/>
          <w:sz w:val="28"/>
        </w:rPr>
        <w:t>一、过去 24 小时关键政策</w:t>
      </w:r>
    </w:p>
    <w:p>
      <w:r>
        <w:rPr>
          <w:b/>
          <w:sz w:val="24"/>
        </w:rPr>
        <w:t>《专家解读|建立健全数据安全风险评估制度筑牢国家数据安全屏障》</w:t>
      </w:r>
    </w:p>
    <w:p>
      <w:r>
        <w:rPr>
          <w:color w:val="646464"/>
          <w:sz w:val="20"/>
        </w:rPr>
        <w:t>文　　号：暂无</w:t>
        <w:br/>
        <w:t>发文机关：中央网络安全和信息化委员会办公室</w:t>
        <w:br/>
        <w:t>发文日期：2026-06-18</w:t>
        <w:br/>
        <w:t>原文链接：https://www.cac.gov.cn/wxzw/zcfg/A093703index_1.htm</w:t>
      </w:r>
    </w:p>
    <w:p>
      <w:pPr>
        <w:ind w:left="240"/>
      </w:pPr>
      <w:r>
        <w:t>解读数据安全风险评估制度，强调筑牢国家数据安全屏障</w:t>
      </w:r>
    </w:p>
    <w:p>
      <w:pPr>
        <w:spacing w:before="0" w:after="80"/>
        <w:pBdr>
          <w:bottom w:val="single" w:sz="4" w:space="1" w:color="DDDDDD"/>
        </w:pBdr>
      </w:pPr>
    </w:p>
    <w:p>
      <w:r>
        <w:rPr>
          <w:b/>
          <w:sz w:val="24"/>
        </w:rPr>
        <w:t>《专家解读|高质量开展网络数据安全风险评估推动网络数据安全治理长效发展》</w:t>
      </w:r>
    </w:p>
    <w:p>
      <w:r>
        <w:rPr>
          <w:color w:val="646464"/>
          <w:sz w:val="20"/>
        </w:rPr>
        <w:t>文　　号：暂无</w:t>
        <w:br/>
        <w:t>发文机关：中央网络安全和信息化委员会办公室</w:t>
        <w:br/>
        <w:t>发文日期：2026-06-18</w:t>
        <w:br/>
        <w:t>原文链接：https://www.cac.gov.cn/wxzw/zcfg/A093703index_1.htm</w:t>
      </w:r>
    </w:p>
    <w:p>
      <w:pPr>
        <w:ind w:left="240"/>
      </w:pPr>
      <w:r>
        <w:t>推动网络数据安全风险评估，促进治理长效发展</w:t>
      </w:r>
    </w:p>
    <w:p>
      <w:pPr>
        <w:spacing w:before="0" w:after="80"/>
        <w:pBdr>
          <w:bottom w:val="single" w:sz="4" w:space="1" w:color="DDDDDD"/>
        </w:pBdr>
      </w:pPr>
    </w:p>
    <w:p>
      <w:r>
        <w:rPr>
          <w:b/>
          <w:sz w:val="24"/>
        </w:rPr>
        <w:t>《专家解读|统筹网络发展和安全完善数据治理体系》</w:t>
      </w:r>
    </w:p>
    <w:p>
      <w:r>
        <w:rPr>
          <w:color w:val="646464"/>
          <w:sz w:val="20"/>
        </w:rPr>
        <w:t>文　　号：暂无</w:t>
        <w:br/>
        <w:t>发文机关：中央网络安全和信息化委员会办公室</w:t>
        <w:br/>
        <w:t>发文日期：2026-06-18</w:t>
        <w:br/>
        <w:t>原文链接：https://www.cac.gov.cn/wxzw/zcfg/A093703index_1.htm</w:t>
      </w:r>
    </w:p>
    <w:p>
      <w:pPr>
        <w:ind w:left="240"/>
      </w:pPr>
      <w:r>
        <w:t>统筹网络发展与安全，完善数据治理体系</w:t>
      </w:r>
    </w:p>
    <w:p>
      <w:pPr>
        <w:spacing w:before="0" w:after="80"/>
        <w:pBdr>
          <w:bottom w:val="single" w:sz="4" w:space="1" w:color="DDDDDD"/>
        </w:pBdr>
      </w:pPr>
    </w:p>
    <w:p>
      <w:r>
        <w:rPr>
          <w:b/>
          <w:sz w:val="24"/>
        </w:rPr>
        <w:t>《专家解读|完善网络数据安全风险评估制度提升网络数据安全治理能力》</w:t>
      </w:r>
    </w:p>
    <w:p>
      <w:r>
        <w:rPr>
          <w:color w:val="646464"/>
          <w:sz w:val="20"/>
        </w:rPr>
        <w:t>文　　号：暂无</w:t>
        <w:br/>
        <w:t>发文机关：中央网络安全和信息化委员会办公室</w:t>
        <w:br/>
        <w:t>发文日期：2026-06-18</w:t>
        <w:br/>
        <w:t>原文链接：https://www.cac.gov.cn/wxzw/zcfg/A093703index_1.htm</w:t>
      </w:r>
    </w:p>
    <w:p>
      <w:pPr>
        <w:ind w:left="240"/>
      </w:pPr>
      <w:r>
        <w:t>完善风险评估制度，提升网络数据安全治理能力</w:t>
      </w:r>
    </w:p>
    <w:p>
      <w:pPr>
        <w:spacing w:before="0" w:after="80"/>
        <w:pBdr>
          <w:bottom w:val="single" w:sz="4" w:space="1" w:color="DDDDDD"/>
        </w:pBdr>
      </w:pPr>
    </w:p>
    <w:p/>
    <w:p>
      <w:pPr>
        <w:pStyle w:val="Heading1"/>
      </w:pPr>
      <w:r>
        <w:rPr>
          <w:color w:val="5B6DE4"/>
          <w:sz w:val="28"/>
        </w:rPr>
        <w:t>二、过去一个月主要政策动向</w:t>
      </w:r>
    </w:p>
    <w:p>
      <w:r>
        <w:rPr>
          <w:b/>
          <w:sz w:val="24"/>
        </w:rPr>
        <w:t>《促进平台经济大中小企业协同发展行动方案》</w:t>
      </w:r>
    </w:p>
    <w:p>
      <w:r>
        <w:rPr>
          <w:color w:val="646464"/>
          <w:sz w:val="20"/>
        </w:rPr>
        <w:t>文　　号：工信部联信管〔2026〕119号</w:t>
        <w:br/>
        <w:t>发文机关：工业和信息化部</w:t>
        <w:br/>
        <w:t>发文日期：2026-06-01</w:t>
        <w:br/>
        <w:t>原文链接：https://www.miit.gov.cn/zwgk/zcwj/</w:t>
      </w:r>
    </w:p>
    <w:p>
      <w:pPr>
        <w:ind w:left="240"/>
      </w:pPr>
      <w:r>
        <w:t>促进平台经济领域大中小企业协同发展</w:t>
      </w:r>
    </w:p>
    <w:p>
      <w:pPr>
        <w:spacing w:before="0" w:after="80"/>
        <w:pBdr>
          <w:bottom w:val="single" w:sz="4" w:space="1" w:color="DDDDDD"/>
        </w:pBdr>
      </w:pPr>
    </w:p>
    <w:p>
      <w:r>
        <w:rPr>
          <w:b/>
          <w:sz w:val="24"/>
        </w:rPr>
        <w:t>《《2026年数字经济发展工作要点》印发》</w:t>
      </w:r>
    </w:p>
    <w:p>
      <w:r>
        <w:rPr>
          <w:color w:val="646464"/>
          <w:sz w:val="20"/>
        </w:rPr>
        <w:t>文　　号：暂无</w:t>
        <w:br/>
        <w:t>发文机关：国家数据局</w:t>
        <w:br/>
        <w:t>发文日期：2026-05-21</w:t>
        <w:br/>
        <w:t>原文链接：http://finance.people.com.cn/n1/2026/0521/c1004-40724157.html</w:t>
      </w:r>
    </w:p>
    <w:p>
      <w:pPr>
        <w:ind w:left="240"/>
      </w:pPr>
      <w:r>
        <w:t>部署2026年数字经济8方面重点任务</w:t>
      </w:r>
    </w:p>
    <w:p>
      <w:pPr>
        <w:spacing w:before="0" w:after="80"/>
        <w:pBdr>
          <w:bottom w:val="single" w:sz="4" w:space="1" w:color="DDDDDD"/>
        </w:pBdr>
      </w:pPr>
    </w:p>
    <w:p>
      <w:r>
        <w:rPr>
          <w:b/>
          <w:sz w:val="24"/>
        </w:rPr>
        <w:t>《广东省工业和信息化厅关于开展2026年支持推动人工智能赋能新型工业化标杆项目入库储备工作》</w:t>
      </w:r>
    </w:p>
    <w:p>
      <w:r>
        <w:rPr>
          <w:color w:val="646464"/>
          <w:sz w:val="20"/>
        </w:rPr>
        <w:t>文　　号：暂无</w:t>
        <w:br/>
        <w:t>发文机关：广东省工业和信息化厅</w:t>
        <w:br/>
        <w:t>发文日期：2026-06-01</w:t>
        <w:br/>
        <w:t>原文链接：http://www.jiangmen.gov.cn/jmgxj/attachment/0/349/349704/3350943.pdf</w:t>
      </w:r>
    </w:p>
    <w:p>
      <w:pPr>
        <w:ind w:left="240"/>
      </w:pPr>
      <w:r>
        <w:t>支持人工智能赋能新型工业化标杆项目入库</w:t>
      </w:r>
    </w:p>
    <w:p>
      <w:pPr>
        <w:spacing w:before="0" w:after="80"/>
        <w:pBdr>
          <w:bottom w:val="single" w:sz="4" w:space="1" w:color="DDDDDD"/>
        </w:pBdr>
      </w:pPr>
    </w:p>
    <w:p>
      <w:r>
        <w:rPr>
          <w:b/>
          <w:sz w:val="24"/>
        </w:rPr>
        <w:t>《工信部印发《“人工智能+信息通信”创新发展实施意见(2026—2028年)》》</w:t>
      </w:r>
    </w:p>
    <w:p>
      <w:r>
        <w:rPr>
          <w:color w:val="646464"/>
          <w:sz w:val="20"/>
        </w:rPr>
        <w:t>文　　号：暂无</w:t>
        <w:br/>
        <w:t>发文机关：工业和信息化部</w:t>
        <w:br/>
        <w:t>发文日期：2026-06-03</w:t>
        <w:br/>
        <w:t>原文链接：https://fjca.miit.gov.cn/xwdt/bsyw/art/2026/art_f325d5fe373141a28b31a6fa43377a5a.html</w:t>
      </w:r>
    </w:p>
    <w:p>
      <w:pPr>
        <w:ind w:left="240"/>
      </w:pPr>
      <w:r>
        <w:t>推动人工智能与信息通信融合创新发展</w:t>
      </w:r>
    </w:p>
    <w:p>
      <w:pPr>
        <w:spacing w:before="0" w:after="80"/>
        <w:pBdr>
          <w:bottom w:val="single" w:sz="4" w:space="1" w:color="DDDDDD"/>
        </w:pBdr>
      </w:pPr>
    </w:p>
    <w:p>
      <w:r>
        <w:rPr>
          <w:b/>
          <w:sz w:val="24"/>
        </w:rPr>
        <w:t>《工业和信息化部召开高质量行业数据集建设工作座谈会》</w:t>
      </w:r>
    </w:p>
    <w:p>
      <w:r>
        <w:rPr>
          <w:color w:val="646464"/>
          <w:sz w:val="20"/>
        </w:rPr>
        <w:t>文　　号：暂无</w:t>
        <w:br/>
        <w:t>发文机关：工业和信息化部</w:t>
        <w:br/>
        <w:t>发文日期：2026-06-08</w:t>
        <w:br/>
        <w:t>原文链接：https://xjca.miit.gov.cn/xwdt/bsyw/index.html</w:t>
      </w:r>
    </w:p>
    <w:p>
      <w:pPr>
        <w:ind w:left="240"/>
      </w:pPr>
      <w:r>
        <w:t>讨论高质量行业数据集建设，支撑人工智能发展</w:t>
      </w:r>
    </w:p>
    <w:p>
      <w:pPr>
        <w:spacing w:before="0" w:after="80"/>
        <w:pBdr>
          <w:bottom w:val="single" w:sz="4" w:space="1" w:color="DDDDDD"/>
        </w:pBdr>
      </w:pPr>
    </w:p>
    <w:p/>
    <w:p>
      <w:pPr>
        <w:pStyle w:val="Heading1"/>
      </w:pPr>
      <w:r>
        <w:rPr>
          <w:color w:val="5B6DE4"/>
          <w:sz w:val="28"/>
        </w:rPr>
        <w:t>三、今年以来主要政策</w:t>
      </w:r>
    </w:p>
    <w:p>
      <w:r>
        <w:rPr>
          <w:b/>
          <w:sz w:val="24"/>
        </w:rPr>
        <w:t>《国家互联网信息办公室关于发布第二十一批境内区块链信息服务备案编号的公告》</w:t>
      </w:r>
    </w:p>
    <w:p>
      <w:r>
        <w:rPr>
          <w:color w:val="646464"/>
          <w:sz w:val="20"/>
        </w:rPr>
        <w:t>文　　号：暂无</w:t>
        <w:br/>
        <w:t>发文机关：国家互联网信息办公室</w:t>
        <w:br/>
        <w:t>发文日期：2026-01-16</w:t>
      </w:r>
    </w:p>
    <w:p>
      <w:pPr>
        <w:ind w:left="240"/>
      </w:pPr>
      <w:r>
        <w:t>发布第二十一批境内区块链信息服务备案编号</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印发《2026年数字经济发展工作要点》，首次明确提出“加快建立全国统一数据产权登记制度”和“推动公共数据授权运营价格形成机制”。这表明数据要素市场化配置已从顶层设计进入具体操作规则制定阶段。下一步，各地将围绕登记指引和定价机制展开试点，数据资产入表与交易规模有望加速扩大，但需警惕地区间制度差异导致的碎片化风险。</w:t>
      </w:r>
    </w:p>
    <w:p>
      <w:r>
        <w:rPr>
          <w:b/>
          <w:color w:val="5B6DE4"/>
        </w:rPr>
        <w:t xml:space="preserve">②  </w:t>
      </w:r>
      <w:r>
        <w:t>趋势2（技术路线）：工信部发布《“人工智能+信息通信”创新发展实施意见(2026—2028年)》，将AI与信息通信融合上升为专项政策。该意见强调“智能体”和“高质量数据集”建设，反映出政策重心从通用大模型转向行业垂直应用和基础设施赋能。预计未来两年，运营商和ICT企业将加速布局AI原生网络，但算力成本与能耗管控将成为落地的关键瓶颈。</w:t>
      </w:r>
    </w:p>
    <w:p>
      <w:r>
        <w:rPr>
          <w:b/>
          <w:color w:val="5B6DE4"/>
        </w:rPr>
        <w:t xml:space="preserve">③  </w:t>
      </w:r>
      <w:r>
        <w:t>趋势3（区域格局）：天津、青岛、成都、山西等多地密集出台算力与人工智能产业三年行动计划（2024-2026年），均强调“通用算力、智能算力、超级算力一体化布局”。这显示地方正从单纯追求算力规模转向“算力+数据+算法”协同发展。然而，区域间算力资源重复建设苗头已现，国家层面需强化东数西算调度机制，避免低效竞争。</w:t>
      </w:r>
    </w:p>
    <w:p>
      <w:r>
        <w:rPr>
          <w:b/>
          <w:color w:val="5B6DE4"/>
        </w:rPr>
        <w:t xml:space="preserve">④  </w:t>
      </w:r>
      <w:r>
        <w:t>趋势4（产业影响）：广东、福建、上海等地启动2026年度制造业智能化与数字化转型项目申报，明确支持工业互联网平台提供“模型训练、高质量语料、智能体应用”等服务。这标志着数字化转型政策正从“上云上平台”向“AI+制造”深度渗透。中小企业有望通过平台获得低成本AI能力，但数据安全与模型合规问题将成为服务商必须跨过的门槛。</w:t>
      </w:r>
    </w:p>
    <w:p>
      <w:r>
        <w:rPr>
          <w:b/>
          <w:color w:val="5B6DE4"/>
        </w:rPr>
        <w:t xml:space="preserve">⑤  </w:t>
      </w:r>
      <w:r>
        <w:t>趋势5（安全合规）：网信办连续发布四篇数据安全风险评估制度解读文章，强调“统筹网络发展和安全”。这释放出明确信号：在数据要素市场化加速的同时，安全监管将同步收紧。预计下半年将出台更细化的网络数据安全风险评估指南，企业数据合规成本可能上升，但合规能力强的机构将在数据流通中占据先机。</w:t>
      </w:r>
    </w:p>
    <w:p>
      <w:r>
        <w:rPr>
          <w:b/>
          <w:color w:val="5B6DE4"/>
        </w:rPr>
        <w:t xml:space="preserve">⑥  </w:t>
      </w:r>
      <w:r>
        <w:t>趋势6（国际比较）：中国通过《数字经济发展工作要点》和“人工智能+信息通信”意见，采取“产业政策+安全监管”双轮驱动模式；欧盟则依托《人工智能法案》和GDPR，侧重风险分级与权利保护；美国以行政令和NIST框架推动自愿性标准。中国更强调政府主导的算力基础设施与行业应用，欧盟重合规，美国重创新。启示：中国需在数据跨境流动规则上加强与国际对接，以支撑出海企业的合规需求。</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