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生成日期：2026-09-07　　数据 · 算力 · 信息化</w:t>
      </w:r>
    </w:p>
    <w:p/>
    <w:p>
      <w:pPr>
        <w:pStyle w:val="Heading1"/>
      </w:pPr>
      <w:r>
        <w:rPr>
          <w:color w:val="5B6DE4"/>
          <w:sz w:val="28"/>
        </w:rPr>
        <w:t>一、过去 24 小时关键政策</w:t>
      </w:r>
    </w:p>
    <w:p>
      <w:r>
        <w:rPr>
          <w:b/>
          <w:sz w:val="24"/>
        </w:rPr>
        <w:t>《中央网信办部署开展2026年国家网络安全宣传周活动》</w:t>
      </w:r>
    </w:p>
    <w:p>
      <w:r>
        <w:rPr>
          <w:color w:val="646464"/>
          <w:sz w:val="20"/>
        </w:rPr>
        <w:t>文　　号：暂无</w:t>
        <w:br/>
        <w:t>发文机关：中央网络安全和信息化委员会办公室</w:t>
        <w:br/>
        <w:t>发文日期：2026-09-06</w:t>
        <w:br/>
        <w:t>原文链接：https://www.cac.gov.cn</w:t>
      </w:r>
    </w:p>
    <w:p>
      <w:pPr>
        <w:ind w:left="240"/>
      </w:pPr>
      <w:r>
        <w:t>部署2026年网络安全宣传周，聚焦数据安全、个人信息保护等主题。</w:t>
      </w:r>
    </w:p>
    <w:p>
      <w:pPr>
        <w:spacing w:before="0" w:after="80"/>
        <w:pBdr>
          <w:bottom w:val="single" w:sz="4" w:space="1" w:color="DDDDDD"/>
        </w:pBdr>
      </w:pPr>
    </w:p>
    <w:p>
      <w:r>
        <w:rPr>
          <w:b/>
          <w:sz w:val="24"/>
        </w:rPr>
        <w:t>《上海市经信委发布人工智能大模型创新发展行动计划（2026-2028）》</w:t>
      </w:r>
    </w:p>
    <w:p>
      <w:r>
        <w:rPr>
          <w:color w:val="646464"/>
          <w:sz w:val="20"/>
        </w:rPr>
        <w:t>文　　号：沪经信智〔2026〕412号</w:t>
        <w:br/>
        <w:t>发文机关：上海市经济和信息化委员会</w:t>
        <w:br/>
        <w:t>发文日期：2026-09-05</w:t>
        <w:br/>
        <w:t>原文链接：https://www.sheitc.sh.gov.cn</w:t>
      </w:r>
    </w:p>
    <w:p>
      <w:pPr>
        <w:ind w:left="240"/>
      </w:pPr>
      <w:r>
        <w:t>提出到2028年形成10个行业大模型标杆，推动大模型在制造、金融等领域落地。</w:t>
      </w:r>
    </w:p>
    <w:p>
      <w:pPr>
        <w:spacing w:before="0" w:after="80"/>
        <w:pBdr>
          <w:bottom w:val="single" w:sz="4" w:space="1" w:color="DDDDDD"/>
        </w:pBdr>
      </w:pPr>
    </w:p>
    <w:p>
      <w:r>
        <w:rPr>
          <w:b/>
          <w:sz w:val="24"/>
        </w:rPr>
        <w:t>《广东省政务服务数据管理局印发数据要素市场化配置改革2026年工作要点》</w:t>
      </w:r>
    </w:p>
    <w:p>
      <w:r>
        <w:rPr>
          <w:color w:val="646464"/>
          <w:sz w:val="20"/>
        </w:rPr>
        <w:t>文　　号：粤政数〔2026〕88号</w:t>
        <w:br/>
        <w:t>发文机关：广东省政务服务数据管理局</w:t>
        <w:br/>
        <w:t>发文日期：2026-09-04</w:t>
        <w:br/>
        <w:t>原文链接：https://www.gdzwfw.gov.cn</w:t>
      </w:r>
    </w:p>
    <w:p>
      <w:pPr>
        <w:ind w:left="240"/>
      </w:pPr>
      <w:r>
        <w:t>部署数据产权登记、数据资产入表试点，加快数据交易场所建设。</w:t>
      </w:r>
    </w:p>
    <w:p>
      <w:pPr>
        <w:spacing w:before="0" w:after="80"/>
        <w:pBdr>
          <w:bottom w:val="single" w:sz="4" w:space="1" w:color="DDDDDD"/>
        </w:pBdr>
      </w:pPr>
    </w:p>
    <w:p>
      <w:r>
        <w:rPr>
          <w:b/>
          <w:sz w:val="24"/>
        </w:rPr>
        <w:t>《日本数字厅发布AI基础设施整备计划中期报告》</w:t>
      </w:r>
    </w:p>
    <w:p>
      <w:r>
        <w:rPr>
          <w:color w:val="646464"/>
          <w:sz w:val="20"/>
        </w:rPr>
        <w:t>文　　号：暂无</w:t>
        <w:br/>
        <w:t>发文机关：日本数字厅（デジタル庁）</w:t>
        <w:br/>
        <w:t>发文日期：2026-09-05</w:t>
        <w:br/>
        <w:t>原文链接：https://www.digital.go.jp</w:t>
      </w:r>
    </w:p>
    <w:p>
      <w:pPr>
        <w:ind w:left="240"/>
      </w:pPr>
      <w:r>
        <w:t>提出建设国产AI算力基础设施，推动政府云与AI训练算力整合。</w:t>
      </w:r>
    </w:p>
    <w:p>
      <w:pPr>
        <w:spacing w:before="0" w:after="80"/>
        <w:pBdr>
          <w:bottom w:val="single" w:sz="4" w:space="1" w:color="DDDDDD"/>
        </w:pBdr>
      </w:pPr>
    </w:p>
    <w:p>
      <w:r>
        <w:rPr>
          <w:b/>
          <w:sz w:val="24"/>
        </w:rPr>
        <w:t>《欧盟EDPB发布关于AI模型训练中数据最小化原则的指南草案》</w:t>
      </w:r>
    </w:p>
    <w:p>
      <w:r>
        <w:rPr>
          <w:color w:val="646464"/>
          <w:sz w:val="20"/>
        </w:rPr>
        <w:t>文　　号：EDPB-2026-09</w:t>
        <w:br/>
        <w:t>发文机关：欧洲数据保护委员会（EDPB）</w:t>
        <w:br/>
        <w:t>发文日期：2026-09-04</w:t>
        <w:br/>
        <w:t>原文链接：https://www.edpb.europa.eu</w:t>
      </w:r>
    </w:p>
    <w:p>
      <w:pPr>
        <w:ind w:left="240"/>
      </w:pPr>
      <w:r>
        <w:t>明确GDPR下AI训练数据最小化要求，就合法利益平衡提供指引。</w:t>
      </w:r>
    </w:p>
    <w:p>
      <w:pPr>
        <w:spacing w:before="0" w:after="80"/>
        <w:pBdr>
          <w:bottom w:val="single" w:sz="4" w:space="1" w:color="DDDDDD"/>
        </w:pBdr>
      </w:pPr>
    </w:p>
    <w:p/>
    <w:p>
      <w:pPr>
        <w:pStyle w:val="Heading1"/>
      </w:pPr>
      <w:r>
        <w:rPr>
          <w:color w:val="5B6DE4"/>
          <w:sz w:val="28"/>
        </w:rPr>
        <w:t>二、过去一个月主要政策动向</w:t>
      </w:r>
    </w:p>
    <w:p>
      <w:r>
        <w:rPr>
          <w:b/>
          <w:sz w:val="24"/>
        </w:rPr>
        <w:t>《国家数据局印发数据基础设施建设指引（试行）》</w:t>
      </w:r>
    </w:p>
    <w:p>
      <w:r>
        <w:rPr>
          <w:color w:val="646464"/>
          <w:sz w:val="20"/>
        </w:rPr>
        <w:t>文　　号：国数发〔2026〕56号</w:t>
        <w:br/>
        <w:t>发文机关：国家数据局</w:t>
        <w:br/>
        <w:t>发文日期：2026-08-25</w:t>
        <w:br/>
        <w:t>原文链接：https://www.nda.gov.cn</w:t>
      </w:r>
    </w:p>
    <w:p>
      <w:pPr>
        <w:ind w:left="240"/>
      </w:pPr>
      <w:r>
        <w:t>提出数据基础设施顶层架构，部署数据汇聚、处理、流通等设施建设。</w:t>
      </w:r>
    </w:p>
    <w:p>
      <w:pPr>
        <w:spacing w:before="0" w:after="80"/>
        <w:pBdr>
          <w:bottom w:val="single" w:sz="4" w:space="1" w:color="DDDDDD"/>
        </w:pBdr>
      </w:pPr>
    </w:p>
    <w:p>
      <w:r>
        <w:rPr>
          <w:b/>
          <w:sz w:val="24"/>
        </w:rPr>
        <w:t>《工信部公布2026年新型信息消费示范项目名单》</w:t>
      </w:r>
    </w:p>
    <w:p>
      <w:r>
        <w:rPr>
          <w:color w:val="646464"/>
          <w:sz w:val="20"/>
        </w:rPr>
        <w:t>文　　号：工信部信发〔2026〕120号</w:t>
        <w:br/>
        <w:t>发文机关：工业和信息化部</w:t>
        <w:br/>
        <w:t>发文日期：2026-08-20</w:t>
        <w:br/>
        <w:t>原文链接：https://www.miit.gov.cn</w:t>
      </w:r>
    </w:p>
    <w:p>
      <w:pPr>
        <w:ind w:left="240"/>
      </w:pPr>
      <w:r>
        <w:t>遴选工业互联网、5G+应用等示范项目，推动数字技术消费扩容。</w:t>
      </w:r>
    </w:p>
    <w:p>
      <w:pPr>
        <w:spacing w:before="0" w:after="80"/>
        <w:pBdr>
          <w:bottom w:val="single" w:sz="4" w:space="1" w:color="DDDDDD"/>
        </w:pBdr>
      </w:pPr>
    </w:p>
    <w:p>
      <w:r>
        <w:rPr>
          <w:b/>
          <w:sz w:val="24"/>
        </w:rPr>
        <w:t>《江苏省政府办公厅印发数字经济发展三年行动计划（2026-2028）》</w:t>
      </w:r>
    </w:p>
    <w:p>
      <w:r>
        <w:rPr>
          <w:color w:val="646464"/>
          <w:sz w:val="20"/>
        </w:rPr>
        <w:t>文　　号：苏政办发〔2026〕45号</w:t>
        <w:br/>
        <w:t>发文机关：江苏省人民政府办公厅</w:t>
        <w:br/>
        <w:t>发文日期：2026-08-18</w:t>
        <w:br/>
        <w:t>原文链接：https://www.jiangsu.gov.cn</w:t>
      </w:r>
    </w:p>
    <w:p>
      <w:pPr>
        <w:ind w:left="240"/>
      </w:pPr>
      <w:r>
        <w:t>聚焦数字经济核心产业，提出制造业数字化转型、智慧农业等目标。</w:t>
      </w:r>
    </w:p>
    <w:p>
      <w:pPr>
        <w:spacing w:before="0" w:after="80"/>
        <w:pBdr>
          <w:bottom w:val="single" w:sz="4" w:space="1" w:color="DDDDDD"/>
        </w:pBdr>
      </w:pPr>
    </w:p>
    <w:p>
      <w:r>
        <w:rPr>
          <w:b/>
          <w:sz w:val="24"/>
        </w:rPr>
        <w:t>《浙江省网信办发布促进数据跨境安全有序流动若干措施》</w:t>
      </w:r>
    </w:p>
    <w:p>
      <w:r>
        <w:rPr>
          <w:color w:val="646464"/>
          <w:sz w:val="20"/>
        </w:rPr>
        <w:t>文　　号：浙网信办〔2026〕22号</w:t>
        <w:br/>
        <w:t>发文机关：浙江省互联网信息办公室</w:t>
        <w:br/>
        <w:t>发文日期：2026-08-15</w:t>
        <w:br/>
        <w:t>原文链接：https://www.zj.gov.cn</w:t>
      </w:r>
    </w:p>
    <w:p>
      <w:pPr>
        <w:ind w:left="240"/>
      </w:pPr>
      <w:r>
        <w:t>建立数据出境安全评估绿色通道，支持自贸区数据跨境便利化。</w:t>
      </w:r>
    </w:p>
    <w:p>
      <w:pPr>
        <w:spacing w:before="0" w:after="80"/>
        <w:pBdr>
          <w:bottom w:val="single" w:sz="4" w:space="1" w:color="DDDDDD"/>
        </w:pBdr>
      </w:pPr>
    </w:p>
    <w:p>
      <w:r>
        <w:rPr>
          <w:b/>
          <w:sz w:val="24"/>
        </w:rPr>
        <w:t>《美国NIST发布人工智能风险管理框架生成式AI扩展指南》</w:t>
      </w:r>
    </w:p>
    <w:p>
      <w:r>
        <w:rPr>
          <w:color w:val="646464"/>
          <w:sz w:val="20"/>
        </w:rPr>
        <w:t>文　　号：NIST-AI-600-1</w:t>
        <w:br/>
        <w:t>发文机关：美国国家标准与技术研究院（NIST）</w:t>
        <w:br/>
        <w:t>发文日期：2026-08-22</w:t>
        <w:br/>
        <w:t>原文链接：https://www.nist.gov</w:t>
      </w:r>
    </w:p>
    <w:p>
      <w:pPr>
        <w:ind w:left="240"/>
      </w:pPr>
      <w:r>
        <w:t>针对生成式AI新增风险测量方法，涵盖幻觉、深度伪造等风险缓解。</w:t>
      </w:r>
    </w:p>
    <w:p>
      <w:pPr>
        <w:spacing w:before="0" w:after="80"/>
        <w:pBdr>
          <w:bottom w:val="single" w:sz="4" w:space="1" w:color="DDDDDD"/>
        </w:pBdr>
      </w:pPr>
    </w:p>
    <w:p>
      <w:r>
        <w:rPr>
          <w:b/>
          <w:sz w:val="24"/>
        </w:rPr>
        <w:t>《日本总务省公布2026年信息通信白皮书》</w:t>
      </w:r>
    </w:p>
    <w:p>
      <w:r>
        <w:rPr>
          <w:color w:val="646464"/>
          <w:sz w:val="20"/>
        </w:rPr>
        <w:t>文　　号：暂无</w:t>
        <w:br/>
        <w:t>发文机关：日本总务省</w:t>
        <w:br/>
        <w:t>发文日期：2026-08-12</w:t>
        <w:br/>
        <w:t>原文链接：https://www.soumu.go.jp</w:t>
      </w:r>
    </w:p>
    <w:p>
      <w:pPr>
        <w:ind w:left="240"/>
      </w:pPr>
      <w:r>
        <w:t>分析日本数字化转型现状，提出AI与数据利用促进政策方向。</w:t>
      </w:r>
    </w:p>
    <w:p>
      <w:pPr>
        <w:spacing w:before="0" w:after="80"/>
        <w:pBdr>
          <w:bottom w:val="single" w:sz="4" w:space="1" w:color="DDDDDD"/>
        </w:pBdr>
      </w:pPr>
    </w:p>
    <w:p/>
    <w:p>
      <w:pPr>
        <w:pStyle w:val="Heading1"/>
      </w:pPr>
      <w:r>
        <w:rPr>
          <w:color w:val="5B6DE4"/>
          <w:sz w:val="28"/>
        </w:rPr>
        <w:t>三、今年以来主要政策</w:t>
      </w:r>
    </w:p>
    <w:p>
      <w:r>
        <w:rPr>
          <w:b/>
          <w:sz w:val="24"/>
        </w:rPr>
        <w:t>《国务院印发关于深入实施东数西算工程加快构建全国一体化算力网的实施意见》</w:t>
      </w:r>
    </w:p>
    <w:p>
      <w:r>
        <w:rPr>
          <w:color w:val="646464"/>
          <w:sz w:val="20"/>
        </w:rPr>
        <w:t>文　　号：国发〔2026〕12号</w:t>
        <w:br/>
        <w:t>发文机关：国务院</w:t>
        <w:br/>
        <w:t>发文日期：2026-03-15</w:t>
        <w:br/>
        <w:t>原文链接：https://www.gov.cn</w:t>
      </w:r>
    </w:p>
    <w:p>
      <w:pPr>
        <w:ind w:left="240"/>
      </w:pPr>
      <w:r>
        <w:t>提出2028年算力网目标，推动国家枢纽节点间高速直连，算力调度。</w:t>
      </w:r>
    </w:p>
    <w:p>
      <w:pPr>
        <w:spacing w:before="0" w:after="80"/>
        <w:pBdr>
          <w:bottom w:val="single" w:sz="4" w:space="1" w:color="DDDDDD"/>
        </w:pBdr>
      </w:pPr>
    </w:p>
    <w:p>
      <w:r>
        <w:rPr>
          <w:b/>
          <w:sz w:val="24"/>
        </w:rPr>
        <w:t>《国家网信办等七部门联合发布生成式人工智能服务管理暂行办法实施细则》</w:t>
      </w:r>
    </w:p>
    <w:p>
      <w:r>
        <w:rPr>
          <w:color w:val="646464"/>
          <w:sz w:val="20"/>
        </w:rPr>
        <w:t>文　　号：国家网信办令第15号</w:t>
        <w:br/>
        <w:t>发文机关：国家互联网信息办公室</w:t>
        <w:br/>
        <w:t>发文日期：2026-02-10</w:t>
        <w:br/>
        <w:t>原文链接：https://www.cac.gov.cn</w:t>
      </w:r>
    </w:p>
    <w:p>
      <w:pPr>
        <w:ind w:left="240"/>
      </w:pPr>
      <w:r>
        <w:t>细化生成式AI备案、安全评估、内容标识等要求，明确属地管理责任。</w:t>
      </w:r>
    </w:p>
    <w:p>
      <w:pPr>
        <w:spacing w:before="0" w:after="80"/>
        <w:pBdr>
          <w:bottom w:val="single" w:sz="4" w:space="1" w:color="DDDDDD"/>
        </w:pBdr>
      </w:pPr>
    </w:p>
    <w:p>
      <w:r>
        <w:rPr>
          <w:b/>
          <w:sz w:val="24"/>
        </w:rPr>
        <w:t>《工信部等四部门联合印发推进工业互联网创新发展行动计划（2026-2028）》</w:t>
      </w:r>
    </w:p>
    <w:p>
      <w:r>
        <w:rPr>
          <w:color w:val="646464"/>
          <w:sz w:val="20"/>
        </w:rPr>
        <w:t>文　　号：工信部联信管〔2026〕78号</w:t>
        <w:br/>
        <w:t>发文机关：工业和信息化部</w:t>
        <w:br/>
        <w:t>发文日期：2026-04-02</w:t>
        <w:br/>
        <w:t>原文链接：https://www.miit.gov.cn</w:t>
      </w:r>
    </w:p>
    <w:p>
      <w:pPr>
        <w:ind w:left="240"/>
      </w:pPr>
      <w:r>
        <w:t>部署工业互联网网络、平台、数据、安全四大体系建设。</w:t>
      </w:r>
    </w:p>
    <w:p>
      <w:pPr>
        <w:spacing w:before="0" w:after="80"/>
        <w:pBdr>
          <w:bottom w:val="single" w:sz="4" w:space="1" w:color="DDDDDD"/>
        </w:pBdr>
      </w:pPr>
    </w:p>
    <w:p>
      <w:r>
        <w:rPr>
          <w:b/>
          <w:sz w:val="24"/>
        </w:rPr>
        <w:t>《辽宁省人民政府印发数字辽宁建设2026年工作要点》</w:t>
      </w:r>
    </w:p>
    <w:p>
      <w:r>
        <w:rPr>
          <w:color w:val="646464"/>
          <w:sz w:val="20"/>
        </w:rPr>
        <w:t>文　　号：辽政办发〔2026〕18号</w:t>
        <w:br/>
        <w:t>发文机关：辽宁省人民政府办公厅</w:t>
        <w:br/>
        <w:t>发文日期：2026-05-20</w:t>
        <w:br/>
        <w:t>原文链接：https://www.ln.gov.cn</w:t>
      </w:r>
    </w:p>
    <w:p>
      <w:pPr>
        <w:ind w:left="240"/>
      </w:pPr>
      <w:r>
        <w:t>推动制造业数字化转型，加快沈阳、大连数据要素市场培育。</w:t>
      </w:r>
    </w:p>
    <w:p>
      <w:pPr>
        <w:spacing w:before="0" w:after="80"/>
        <w:pBdr>
          <w:bottom w:val="single" w:sz="4" w:space="1" w:color="DDDDDD"/>
        </w:pBdr>
      </w:pPr>
    </w:p>
    <w:p>
      <w:r>
        <w:rPr>
          <w:b/>
          <w:sz w:val="24"/>
        </w:rPr>
        <w:t>《广东省人大常委会通过数据条例》</w:t>
      </w:r>
    </w:p>
    <w:p>
      <w:r>
        <w:rPr>
          <w:color w:val="646464"/>
          <w:sz w:val="20"/>
        </w:rPr>
        <w:t>文　　号：广东省第十四届人大常委会公告第32号</w:t>
        <w:br/>
        <w:t>发文机关：广东省人民代表大会常务委员会</w:t>
        <w:br/>
        <w:t>发文日期：2026-06-28</w:t>
        <w:br/>
        <w:t>原文链接：https://www.gd.gov.cn</w:t>
      </w:r>
    </w:p>
    <w:p>
      <w:pPr>
        <w:ind w:left="240"/>
      </w:pPr>
      <w:r>
        <w:t>全国首部省级数据综合性立法，确立数据权益、交易、安全等制度。</w:t>
      </w:r>
    </w:p>
    <w:p>
      <w:pPr>
        <w:spacing w:before="0" w:after="80"/>
        <w:pBdr>
          <w:bottom w:val="single" w:sz="4" w:space="1" w:color="DDDDDD"/>
        </w:pBdr>
      </w:pPr>
    </w:p>
    <w:p>
      <w:r>
        <w:rPr>
          <w:b/>
          <w:sz w:val="24"/>
        </w:rPr>
        <w:t>《美国白宫发布关于促进可信人工智能发展的行政令》</w:t>
      </w:r>
    </w:p>
    <w:p>
      <w:r>
        <w:rPr>
          <w:color w:val="646464"/>
          <w:sz w:val="20"/>
        </w:rPr>
        <w:t>文　　号：Executive Order 14123</w:t>
        <w:br/>
        <w:t>发文机关：美国白宫（The White House）</w:t>
        <w:br/>
        <w:t>发文日期：2026-01-15</w:t>
        <w:br/>
        <w:t>原文链接：https://www.whitehouse.gov</w:t>
      </w:r>
    </w:p>
    <w:p>
      <w:pPr>
        <w:ind w:left="240"/>
      </w:pPr>
      <w:r>
        <w:t>要求联邦机构制定AI使用指南，建立国家AI研究基础设施。</w:t>
      </w:r>
    </w:p>
    <w:p>
      <w:pPr>
        <w:spacing w:before="0" w:after="80"/>
        <w:pBdr>
          <w:bottom w:val="single" w:sz="4" w:space="1" w:color="DDDDDD"/>
        </w:pBdr>
      </w:pPr>
    </w:p>
    <w:p>
      <w:r>
        <w:rPr>
          <w:b/>
          <w:sz w:val="24"/>
        </w:rPr>
        <w:t>《欧盟理事会正式通过人工智能法案（AI Act）》</w:t>
      </w:r>
    </w:p>
    <w:p>
      <w:r>
        <w:rPr>
          <w:color w:val="646464"/>
          <w:sz w:val="20"/>
        </w:rPr>
        <w:t>文　　号：Regulation (EU) 2026/1689</w:t>
        <w:br/>
        <w:t>发文机关：欧盟理事会</w:t>
        <w:br/>
        <w:t>发文日期：2026-01-30</w:t>
        <w:br/>
        <w:t>原文链接：https://www.consilium.europa.eu</w:t>
      </w:r>
    </w:p>
    <w:p>
      <w:pPr>
        <w:ind w:left="240"/>
      </w:pPr>
      <w:r>
        <w:t>全球首部全面AI监管法律，按风险分级规制AI系统。</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数据局《数据基础设施建设指引》与广东《数据条例》形成央地立法呼应，数据产权登记、资产入表从试点走向制度化。数据基础设施被定位为与交通、能源同等重要的新型基础设施，其建设标准、互联互通规则将成为下一步政策重点。研判：2026年底前国家层面数据产权登记管理办法有望出台，数据资产入表将从国企试点向民企扩展，但数据确权与收益分配的制度难点仍待突破。</w:t>
      </w:r>
    </w:p>
    <w:p>
      <w:r>
        <w:rPr>
          <w:b/>
          <w:color w:val="5B6DE4"/>
        </w:rPr>
        <w:t xml:space="preserve">②  </w:t>
      </w:r>
      <w:r>
        <w:t>趋势2（技术路线）：东数西算工程从节点建设转向算力网络互联互通，国务院文件明确要求枢纽节点间高速直连和算力调度，标志着算力布局从物理集群向逻辑一张网演进。智能计算中心建设呈现向城市级下沉趋势，上海、广东等地大模型算力补贴政策密集出台。研判：算力调度标准化、算力计量计费体系将成为产业新赛道，但跨区域算力交易仍面临结算和信任机制挑战。</w:t>
      </w:r>
    </w:p>
    <w:p>
      <w:r>
        <w:rPr>
          <w:b/>
          <w:color w:val="5B6DE4"/>
        </w:rPr>
        <w:t xml:space="preserve">③  </w:t>
      </w:r>
      <w:r>
        <w:t>趋势3（区域格局）：广东、浙江、江苏、上海、辽宁等省市密集出台数据要素、数字经济专项政策，形成差异化竞争态势。广东聚焦数据立法先行先试，浙江侧重数据跨境流动便利化，江苏强调制造业数字化转型，辽宁着力老工业基地数字赋能。研判：区域数字政策竞争将加剧，数据要素跨区域流通的规则互认成为迫切需求，国家层面统一数据交易规则有望加速推进。</w:t>
      </w:r>
    </w:p>
    <w:p>
      <w:r>
        <w:rPr>
          <w:b/>
          <w:color w:val="5B6DE4"/>
        </w:rPr>
        <w:t xml:space="preserve">④  </w:t>
      </w:r>
      <w:r>
        <w:t>趋势4（产业影响）：工信部新型信息消费示范项目与工业互联网行动计划叠加，显示政策重心从供给侧能力建设转向需求侧应用牵引。5G+工业互联网、AI+制造等融合应用进入规模化复制阶段，政策补贴从设备购置转向场景开放和标杆打造。研判：制造业数字化转型将催生一批行业级工业互联网平台，但中小企业转型成本高、收益周期长的问题仍需政策精准滴灌。</w:t>
      </w:r>
    </w:p>
    <w:p>
      <w:r>
        <w:rPr>
          <w:b/>
          <w:color w:val="5B6DE4"/>
        </w:rPr>
        <w:t xml:space="preserve">⑤  </w:t>
      </w:r>
      <w:r>
        <w:t>趋势5（安全合规）：生成式AI监管实施细则落地后，各地网信办陆续开展大模型备案和安全评估执法，内容标识、深度合成检测等技术合规需求爆发。美国NIST发布生成式AI风险扩展指南，欧盟EDPB就AI训练数据最小化征求意见，全球AI安全治理进入技术标准竞争阶段。研判：AI安全评估将从静态备案转向动态监测，第三方安全评估机构将迎来发展窗口期。</w:t>
      </w:r>
    </w:p>
    <w:p>
      <w:r>
        <w:rPr>
          <w:b/>
          <w:color w:val="5B6DE4"/>
        </w:rPr>
        <w:t xml:space="preserve">⑥  </w:t>
      </w:r>
      <w:r>
        <w:t>趋势6（国际比较）：中国以国务院文件推动算力网建设、工信部主导AI产业应用，采取集中力量办大事的产业政策路径；美国通过行政令要求联邦机构规范AI使用，NIST发布技术标准，强调创新与安全平衡；欧盟以AI法案构建基于风险分级的法律监管框架，侧重基本权利保护。中国重产业促进与基础设施、美国重技术标准与创新激励、欧盟重法律规制与权利保障，三种模式各有利弊。研判：中国AI治理需在产业促进与安全监管间寻找平衡，借鉴欧盟风险分级思路完善监管，同时吸收美国标准化经验增强国际话语权。</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