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生成日期：2026-08-05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《互联网用户账号信息管理规定》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发文日期：2026-08-01</w:t>
        <w:br/>
        <w:t>原文链接：http://m.app.cctv.com/vsetv/detail/C10336/9b5db7347c3b4aab8cb495157479a946/index.shtml</w:t>
      </w:r>
    </w:p>
    <w:p>
      <w:pPr>
        <w:ind w:left="240"/>
      </w:pPr>
      <w:r>
        <w:t>规范互联网用户账号信息管理，8月1日起正式施行。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四部门联合印发，推动互联网基础资源高质量发展，强化顶层设计。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发文日期：2026-06-12</w:t>
        <w:br/>
        <w:t>原文链接：https://www.hbqj.gov.cn/sjjhxxhj/zfxxgk/zc/bbmwj/202606/t20260612_5957098.html</w:t>
      </w:r>
    </w:p>
    <w:p>
      <w:pPr>
        <w:ind w:left="240"/>
      </w:pPr>
      <w:r>
        <w:t>构建“枢纽—区域—边缘”三级算力设施体系，加快算力大通道建设。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《2026年“人工智能+电竞创新应用大赛”启动》</w:t>
      </w:r>
    </w:p>
    <w:p>
      <w:r>
        <w:rPr>
          <w:color w:val="646464"/>
          <w:sz w:val="20"/>
        </w:rPr>
        <w:t>文　　号：暂无</w:t>
        <w:br/>
        <w:t>发文机关：广西壮族自治区大数据发展局</w:t>
        <w:br/>
        <w:t>发文日期：2026-07-15</w:t>
      </w:r>
    </w:p>
    <w:p>
      <w:pPr>
        <w:ind w:left="240"/>
      </w:pPr>
      <w:r>
        <w:t>面向全国及东盟国家，以赛聚才、以赛促创，激活数字文创与电竞产业生态。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《2026中国国际大数据产业博览会新闻发布会》</w:t>
      </w:r>
    </w:p>
    <w:p>
      <w:r>
        <w:rPr>
          <w:color w:val="646464"/>
          <w:sz w:val="20"/>
        </w:rPr>
        <w:t>文　　号：暂无</w:t>
        <w:br/>
        <w:t>发文机关：河南省数据局</w:t>
        <w:br/>
        <w:t>发文日期：2026-07-31</w:t>
        <w:br/>
        <w:t>原文链接：https://m.spzwxxj.henan.gov.cn/2026/07-31/3381078.html</w:t>
      </w:r>
    </w:p>
    <w:p>
      <w:pPr>
        <w:ind w:left="240"/>
      </w:pPr>
      <w:r>
        <w:t>140万PFLOPS智能算力接入全国一体化算力网，国家公共数据资源登记平台资源近30万项。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号：工信部联网安〔2026〕27号</w:t>
        <w:br/>
        <w:t>发文机关：工业和信息化部等八部门</w:t>
        <w:br/>
        <w:t>发文日期：2026-02-03</w:t>
        <w:br/>
        <w:t>原文链接：https://www.cac.gov.cn/2026-02/03/c_1771851453192164.htm</w:t>
      </w:r>
    </w:p>
    <w:p>
      <w:pPr>
        <w:ind w:left="240"/>
      </w:pPr>
      <w:r>
        <w:t>八部门联合印发，推动建立高效便利安全的汽车数据跨境流动机制。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《普惠算力赋能中小企业发展专项行动》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发文日期：2026-04-03</w:t>
        <w:br/>
        <w:t>原文链接：https://gyxxh.tj.gov.cn/ZWGK4147/ZCWJ6355/gjjwj/202604/t20260403_7275768.html</w:t>
      </w:r>
    </w:p>
    <w:p>
      <w:pPr>
        <w:ind w:left="240"/>
      </w:pPr>
      <w:r>
        <w:t>提升算力普惠易用水平，降低中小企业用算成本，支撑数字化转型。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《2026年人工智能券（算力券）兑付申报》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发文日期：2026-05-01</w:t>
      </w:r>
    </w:p>
    <w:p>
      <w:pPr>
        <w:ind w:left="240"/>
      </w:pPr>
      <w:r>
        <w:t>使用超长期特别国债资金，试点推动算力资源供需良性循环，降低用算成本。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《苏州市科创指数惠（人工智能算力补贴）》</w:t>
      </w:r>
    </w:p>
    <w:p>
      <w:r>
        <w:rPr>
          <w:color w:val="646464"/>
          <w:sz w:val="20"/>
        </w:rPr>
        <w:t>文　　号：暂无</w:t>
        <w:br/>
        <w:t>发文机关：苏州市科学技术局</w:t>
        <w:br/>
        <w:t>发文日期：2026-04-08</w:t>
        <w:br/>
        <w:t>原文链接：https://sst.suzhou.gov.cn/ndaservplat/Apps/sme/index.php?s=/Home/Notice/noticeDetail/id/1350</w:t>
      </w:r>
    </w:p>
    <w:p>
      <w:pPr>
        <w:ind w:left="240"/>
      </w:pPr>
      <w:r>
        <w:t>对科技研发企业按实际支付智能算力租用费用的30%给予补贴，每年最高200万元。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等三部门联合公布《网络数据安全风险评估办法》，定于8月20日施行，与8月1日施行的《互联网用户账号信息管理规定》形成联动。逻辑：这是落实《数据安全法》和《网络数据安全管理条例》的配套措施，标志着数据安全监管从原则性规定走向可操作的具体细则，监管颗粒度显著细化。研判：预计后续将出台更多行业性数据安全评估指南，企业在数据全生命周期管理上的合规成本将上升，数据安全评估服务市场将迎来快速增长。</w:t>
      </w:r>
    </w:p>
    <w:p>
      <w:r>
        <w:rPr>
          <w:b/>
          <w:color w:val="5B6DE4"/>
        </w:rPr>
        <w:t xml:space="preserve">②  </w:t>
      </w:r>
      <w:r>
        <w:t>现象：国家数据局在数博会新闻发布会上披露，已有140万PFLOPS智能算力接入全国一体化算力网试验验证平台，国家公共数据资源登记平台登记资源近30万项。逻辑：这显示“东数西算”工程正从基础设施建设阶段转向实质性调度运营阶段，算力与数据两大核心要素开始通过国家级平台实现互联互通。研判：全国一体化算力网有望在2026年底前形成初步商业化运营能力，算力交易和数据资产登记将催生新的市场中介服务，但跨区域利益分配机制仍是待解难题。</w:t>
      </w:r>
    </w:p>
    <w:p>
      <w:r>
        <w:rPr>
          <w:b/>
          <w:color w:val="5B6DE4"/>
        </w:rPr>
        <w:t xml:space="preserve">③  </w:t>
      </w:r>
      <w:r>
        <w:t>现象：工信部4月启动“普惠算力赋能中小企业发展专项行动”，浙江、江苏苏州等地相继推出算力券、算力补贴政策，最高补贴比例达30%。逻辑：政策层已意识到算力是中小企业数字化转型的核心瓶颈，通过财政补贴直接降低用算成本，实质是以“需求侧补贴”撬动“供给侧规模效应”。研判：算力券模式可能在全国复制推广，但需警惕补贴依赖症和资源闲置风险，未来政策或从“补消费”转向“补生态”，更注重算力使用效率而非单纯规模扩张。</w:t>
      </w:r>
    </w:p>
    <w:p>
      <w:r>
        <w:rPr>
          <w:b/>
          <w:color w:val="5B6DE4"/>
        </w:rPr>
        <w:t xml:space="preserve">④  </w:t>
      </w:r>
      <w:r>
        <w:t>现象：工信部印发《“人工智能+信息通信”创新发展实施意见（2026—2028年）》，提出构建“枢纽—区域—边缘”三级节点协同的算力设施体系，并建立统一算力标识体系。逻辑：这是“人工智能+”行动在信息通信行业的具体落地，旨在通过算力标识标准化实现全国算力资源的统一调度和计量，为算力互联互通奠定技术基础。研判：算力标识体系有望成为国家级基础设施，类似“算力身份证”，将深刻影响算力交易、结算和监管方式，具备相关技术储备的企业将获得先发优势。</w:t>
      </w:r>
    </w:p>
    <w:p>
      <w:r>
        <w:rPr>
          <w:b/>
          <w:color w:val="5B6DE4"/>
        </w:rPr>
        <w:t xml:space="preserve">⑤  </w:t>
      </w:r>
      <w:r>
        <w:t>现象：工信部等八部门2月印发《汽车数据出境安全指引（2026版）》，北京、上海、天津等地陆续发布自贸区数据出境负面清单。逻辑：在智能网联汽车快速普及的背景下，汽车数据跨境流动需求激增，政策试图在安全底线与产业效率之间寻求平衡，通过“负面清单+安全指引”模式提供确定性合规路径。研判：数据出境管理正从“逐案审批”转向“清单管理”，预计更多行业（如医疗、金融）将跟进出台类似指引，形成行业全覆盖的数据跨境流动规则体系。</w:t>
      </w:r>
    </w:p>
    <w:p>
      <w:r>
        <w:rPr>
          <w:b/>
          <w:color w:val="5B6DE4"/>
        </w:rPr>
        <w:t xml:space="preserve">⑥  </w:t>
      </w:r>
      <w:r>
        <w:t>现象：中国通过《网络数据安全风险评估办法》强化事前监管，而欧盟正加速推进《人工智能法案》（AI Act）的分阶段实施，美国则以行政令推动联邦机构AI应用治理。逻辑：三大经济体呈现三种路径——中国侧重数据安全与算力基建双轮驱动，欧盟侧重风险分级与权利保护，美国侧重应用激励与分散监管。研判：中国模式在数据要素市场化配置上更具系统性，但国际互认机制缺失可能导致跨境合规成本上升；建议关注中国是否参与或主导制定跨境数据流动与AI治理的国际标准，以增强制度性话语权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