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《庆祝中国共产党成立105周年大会侧记》</w:t>
      </w:r>
    </w:p>
    <w:p>
      <w:r>
        <w:rPr>
          <w:color w:val="646464"/>
          <w:sz w:val="20"/>
        </w:rPr>
        <w:t>文　　号：暂无</w:t>
        <w:br/>
        <w:t>发文机关：新华社</w:t>
        <w:br/>
        <w:t>发文日期：2026-07-01</w:t>
      </w:r>
    </w:p>
    <w:p>
      <w:pPr>
        <w:ind w:left="240"/>
      </w:pPr>
      <w:r>
        <w:t>大会回顾百年历程，强调数字中国与科技自立自强。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发文日期：2026-06-18</w:t>
        <w:br/>
        <w:t>原文链接：https://www.miit.gov.cn/zwgk/zcwj/</w:t>
      </w:r>
    </w:p>
    <w:p>
      <w:pPr>
        <w:ind w:left="240"/>
      </w:pPr>
      <w:r>
        <w:t>推动平台经济领域大中小企业融通创新与协同发展。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规范MCN等机构内容分发，加强算法与信息安全管理。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部署年度重点任务，提升全民数字适应力与创造力。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《人工智能应用伦理规范》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明确AI研发应用伦理原则，防范算法歧视与隐私风险。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发文日期：2026-06-22</w:t>
        <w:br/>
        <w:t>原文链接：https://www.ndrc.gov.cn/fzggw/wld/llh/zyhd/index.html</w:t>
      </w:r>
    </w:p>
    <w:p>
      <w:pPr>
        <w:ind w:left="240"/>
      </w:pPr>
      <w:r>
        <w:t>调研数据交易所、数据资产入表等改革试点进展。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《2026年“数据要素×”大赛启动》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以赛促用，推动数据要素在工业、金融等领域融合创新。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《汽车数据出境安全指引（2026版）》</w:t>
      </w:r>
    </w:p>
    <w:p>
      <w:r>
        <w:rPr>
          <w:color w:val="646464"/>
          <w:sz w:val="20"/>
        </w:rPr>
        <w:t>文　　号：暂无</w:t>
        <w:br/>
        <w:t>发文机关：工信部等八部门</w:t>
        <w:br/>
        <w:t>发文日期：2026-02-04</w:t>
      </w:r>
    </w:p>
    <w:p>
      <w:pPr>
        <w:ind w:left="240"/>
      </w:pPr>
      <w:r>
        <w:t>建立汽车数据高效便利安全跨境流动机制。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《推动工业互联网平台高质量发展行动方案（2026—2028年）》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发文日期：2026-01-19</w:t>
        <w:br/>
        <w:t>原文链接：https://www.miiteec.org.cn/news_list?type=3</w:t>
      </w:r>
    </w:p>
    <w:p>
      <w:pPr>
        <w:ind w:left="240"/>
      </w:pPr>
      <w:r>
        <w:t>部署平台化、智能化、安全化发展路径。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《“人工智能+制造”专项行动实施意见》</w:t>
      </w:r>
    </w:p>
    <w:p>
      <w:r>
        <w:rPr>
          <w:color w:val="646464"/>
          <w:sz w:val="20"/>
        </w:rPr>
        <w:t>文　　号：暂无</w:t>
        <w:br/>
        <w:t>发文机关：八部门</w:t>
        <w:br/>
        <w:t>发文日期：2026-01-13</w:t>
        <w:br/>
        <w:t>原文链接：https://www.miiteec.org.cn/news_list?type=3</w:t>
      </w:r>
    </w:p>
    <w:p>
      <w:pPr>
        <w:ind w:left="240"/>
      </w:pPr>
      <w:r>
        <w:t>推动AI与制造业深度融合，培育智能工厂与工业大模型。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6月，工信部等八部门联合发布《汽车数据出境安全指引（2026版）》，首次针对汽车行业数据跨境流动建立专项安全机制。逻辑：汽车数据涉及地理信息、个人隐私与国家安全，此前缺乏明确出境规则，该指引旨在平衡产业全球化需求与安全底线。研判：预计后续将出现更多行业级数据出境细则，如金融、医疗等领域，数据跨境管理从“一刀切”走向“精细化行业分类”。</w:t>
      </w:r>
    </w:p>
    <w:p>
      <w:r>
        <w:rPr>
          <w:b/>
          <w:color w:val="5B6DE4"/>
        </w:rPr>
        <w:t xml:space="preserve">②  </w:t>
      </w:r>
      <w:r>
        <w:t>现象：国家数据局局长刘烈宏于2026年5-6月密集调研温州、深圳、东莞等地数据要素市场化改革，并启动“数据要素×”大赛。逻辑：数据要素作为新型生产要素，其确权、定价、交易机制仍在探索，高层调研意在摸清地方试点堵点，为全国统一数据市场规则铺路。研判：2026年下半年可能出台数据要素基础制度文件，明确数据产权“三权分置”落地路径。</w:t>
      </w:r>
    </w:p>
    <w:p>
      <w:r>
        <w:rPr>
          <w:b/>
          <w:color w:val="5B6DE4"/>
        </w:rPr>
        <w:t xml:space="preserve">③  </w:t>
      </w:r>
      <w:r>
        <w:t>现象：2026年1月，工信部等八部门印发《“人工智能+制造”专项行动实施意见》，同期上海、福州等地启动制造业智能化项目申报。逻辑：政策从“鼓励上云”转向“强制融合”，要求制造企业将AI嵌入研发、生产、供应链全流程，以应对劳动力成本上升与供应链韧性需求。研判：工业大模型将加速落地，但中小制造企业面临算力成本与数据孤岛双重挑战，需配套普惠算力政策。</w:t>
      </w:r>
    </w:p>
    <w:p>
      <w:r>
        <w:rPr>
          <w:b/>
          <w:color w:val="5B6DE4"/>
        </w:rPr>
        <w:t xml:space="preserve">④  </w:t>
      </w:r>
      <w:r>
        <w:t>现象：2026年5月，国家网信办发布《人工智能应用伦理规范》，对算法歧视、隐私泄露、深度伪造等风险提出原则性要求。逻辑：生成式AI快速普及后，伦理风险从学术讨论上升为监管焦点，中国选择“伦理先行+标准跟进”路径，避免过度抑制创新。研判：后续将配套出台AI安全治理行业标准（如已立项的《人工智能安全治理术语》），形成“伦理-标准-法律”三层治理体系。</w:t>
      </w:r>
    </w:p>
    <w:p>
      <w:r>
        <w:rPr>
          <w:b/>
          <w:color w:val="5B6DE4"/>
        </w:rPr>
        <w:t xml:space="preserve">⑤  </w:t>
      </w:r>
      <w:r>
        <w:t>现象：2026年6月，工信部批准《人工智能安全治理术语》等680项行业标准，涵盖电子、通信、汽车等领域。逻辑：标准化是产业规模化发展的基础，中国正通过快速制定标准抢占AI与数据治理话语权，同时为监管提供技术依据。研判：标准密集发布将加速行业洗牌，合规能力弱的中小企业可能被淘汰，头部企业通过参与标准制定获得先发优势。</w:t>
      </w:r>
    </w:p>
    <w:p>
      <w:r>
        <w:rPr>
          <w:b/>
          <w:color w:val="5B6DE4"/>
        </w:rPr>
        <w:t xml:space="preserve">⑥  </w:t>
      </w:r>
      <w:r>
        <w:t>现象：中国2026年密集出台AI与数据治理政策，而日本2025年发布《AI事业者指南》侧重企业自律，欧盟《AI法案》2026年进入执行阶段，美国则通过行政令推动联邦机构AI风险管理。逻辑：中国采取“政府主导+行业试点”模式，强调安全与发展并重；欧盟以风险分级立法为核心；美国依赖市场自律与行政指令；日本注重国际协调。研判：中国模式在产业落地效率上占优，但需警惕过度监管抑制创新；欧盟模式可能成为全球基准，中国应主动参与国际规则互认，避免标准脱钩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