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生成日期：2026-08-19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《工业绿色低碳发展“十五五”规划》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  <w:br/>
        <w:t>原文链接：https://www.miit.gov.cn/search/zcwjk.html?websiteid=110000000000000&amp;tpl=14&amp;category=183</w:t>
      </w:r>
    </w:p>
    <w:p>
      <w:pPr>
        <w:ind w:left="240"/>
      </w:pPr>
      <w:r>
        <w:t>部署工业领域绿色低碳发展，涉及数字化绿色化协同转型。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发文日期：2026-06-18</w:t>
        <w:br/>
        <w:t>原文链接：https://www.cac.gov.cn/2026-06/18/c_1783525609778371.htm</w:t>
      </w:r>
    </w:p>
    <w:p>
      <w:pPr>
        <w:ind w:left="240"/>
      </w:pPr>
      <w:r>
        <w:t>三部门联合公布，自2026年8月20日起施行，落实数据安全法要求。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发文机关：工业和信息化部、国家网信办、国家发展改革委、国家数据局、公安部、自然资源部、交通运输部、市场监管总局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八部门联合印发，推进汽车数据高效便利安全跨境流动。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发文日期：2026-06-18</w:t>
        <w:br/>
        <w:t>原文链接：https://www.cac.gov.cn/2026-06/18/c_1783525609778371.htm</w:t>
      </w:r>
    </w:p>
    <w:p>
      <w:pPr>
        <w:ind w:left="240"/>
      </w:pPr>
      <w:r>
        <w:t>三部门联合公布，自2026年8月20日起施行，落实数据安全法要求。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号：工信部联网安﹝2026﹞27号</w:t>
        <w:br/>
        <w:t>发文机关：工业和信息化部、国家网信办、国家发展改革委、国家数据局、公安部、自然资源部、交通运输部、市场监管总局</w:t>
        <w:br/>
        <w:t>发文日期：2026-02-03</w:t>
        <w:br/>
        <w:t>原文链接：https://gyxxh.tj.gov.cn/ZWGK4147/ZCWJ6355/gjjwj/202602/t20260203_7238779.html</w:t>
      </w:r>
    </w:p>
    <w:p>
      <w:pPr>
        <w:ind w:left="240"/>
      </w:pPr>
      <w:r>
        <w:t>八部门联合印发，推进汽车数据高效便利安全跨境流动。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《工业绿色低碳发展“十五五”规划》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  <w:br/>
        <w:t>原文链接：https://www.miit.gov.cn/search/zcwjk.html?websiteid=110000000000000&amp;tpl=14&amp;category=183</w:t>
      </w:r>
    </w:p>
    <w:p>
      <w:pPr>
        <w:ind w:left="240"/>
      </w:pPr>
      <w:r>
        <w:t>部署工业领域绿色低碳发展，涉及数字化绿色化协同转型。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《网络数据安全风险评估办法》将于2026年8月20日正式施行，标志着数据安全治理从原则性规定走向操作性规范。该办法明确风险评估的对象、流程和频次，将数据安全审查嵌入业务全生命周期。其逻辑在于，随着数据要素市场化加速，监管层需要一套可量化的合规标尺来平衡发展与安全。研判：后续可能配套出台行业细分评估指引，企业数据合规成本将显著上升，第三方评估机构市场将快速扩容。</w:t>
      </w:r>
    </w:p>
    <w:p>
      <w:r>
        <w:rPr>
          <w:b/>
          <w:color w:val="5B6DE4"/>
        </w:rPr>
        <w:t xml:space="preserve">②  </w:t>
      </w:r>
      <w:r>
        <w:t>趋势2（产业影响）：八部门联合发布《汽车数据出境安全指引（2026版）》，首次针对单一行业数据跨境流动出台专项指引。汽车行业因涉及地理信息、个人出行轨迹等高敏数据，成为数据出境监管的突破口。政策逻辑是“以行业试点积累经验”，在保障安全前提下提升便利化水平。研判：智能网联汽车企业需尽快建立数据出境自评估机制，其他行业（如医疗、金融）可能跟进类似专项规则。</w:t>
      </w:r>
    </w:p>
    <w:p>
      <w:r>
        <w:rPr>
          <w:b/>
          <w:color w:val="5B6DE4"/>
        </w:rPr>
        <w:t xml:space="preserve">③  </w:t>
      </w:r>
      <w:r>
        <w:t>趋势3（区域格局）：从公开信息看，辽宁、江苏、上海、广东、浙江等重点省市尚未发布2026年8月新增数字政策，国家级政策仍占主导。这反映出数据要素、算力等基础性制度安排仍以中央顶层设计为主，地方更多承担落地执行角色。研判：随着国家数据局推动“数据要素×”行动深入，下半年地方将密集出台配套实施方案，区域间数据交易规则差异可能成为新的协调难点。</w:t>
      </w:r>
    </w:p>
    <w:p>
      <w:r>
        <w:rPr>
          <w:b/>
          <w:color w:val="5B6DE4"/>
        </w:rPr>
        <w:t xml:space="preserve">④  </w:t>
      </w:r>
      <w:r>
        <w:t>趋势4（安全合规）：《汽车数据出境安全指引》与《网络数据安全风险评估办法》形成组合拳，显示监管思路从“事后追责”转向“事前评估+事中监测”。汽车数据出境需通过安全评估或认证，与欧盟GDPR的充分性认定机制有相似逻辑。研判：数据出境“白名单”机制有望在自贸区先行先试，跨国企业需同时满足中国本地化存储与境外总部数据需求，合规架构面临重构。</w:t>
      </w:r>
    </w:p>
    <w:p>
      <w:r>
        <w:rPr>
          <w:b/>
          <w:color w:val="5B6DE4"/>
        </w:rPr>
        <w:t xml:space="preserve">⑤  </w:t>
      </w:r>
      <w:r>
        <w:t>趋势5（技术路线）：工业绿色低碳发展“十五五”规划将数字化作为绿色转型的关键路径，暗示“数字+绿色”双化协同成为政策发力点。通过工业互联网、AI能耗优化等技术降低碳排放，而非单纯依赖末端治理。逻辑在于，数字化转型已具备基础设施条件，政策引导资本流向能效管理、智能调度等应用场景。研判：工业AI、数字孪生、碳管理SaaS等细分赛道将获得政策红利，但需警惕技术落地中的“数字形式主义”。</w:t>
      </w:r>
    </w:p>
    <w:p>
      <w:r>
        <w:rPr>
          <w:b/>
          <w:color w:val="5B6DE4"/>
        </w:rPr>
        <w:t xml:space="preserve">⑥  </w:t>
      </w:r>
      <w:r>
        <w:t>趋势6（国际比较）：日本2026年推进“AI制度研究会”相关立法讨论，欧盟AI Act进入实施阶段，美国则通过行政令强化联邦机构AI应用监管。中国以《网络数据安全风险评估办法》和行业数据出境指引回应全球数据治理浪潮。差异在于：欧盟侧重风险分级与公民权利保护，美国强调创新优先与行业自律，中国更突出国家安全与产业发展并重。启示：中国可借鉴欧盟AI Act的风险分级框架，同时吸收日本“社会5.0”的产业落地思路，在安全底座上构建更具国际兼容性的数据治理规则。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