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67EEA"/>
          <w:sz w:val="48"/>
        </w:rPr>
        <w:t>数据和信息化政策日报</w:t>
      </w:r>
    </w:p>
    <w:p>
      <w:pPr>
        <w:jc w:val="center"/>
      </w:pPr>
      <w:r>
        <w:t>生成日期：2026-05-23</w:t>
      </w:r>
    </w:p>
    <w:p>
      <w:r>
        <w:br w:type="page"/>
      </w:r>
    </w:p>
    <w:p>
      <w:pPr>
        <w:pStyle w:val="Heading1"/>
      </w:pPr>
      <w:r>
        <w:rPr>
          <w:color w:val="667EEA"/>
        </w:rPr>
        <w:t>一、过去24小时关键政策</w:t>
      </w:r>
    </w:p>
    <w:p>
      <w:pPr>
        <w:pStyle w:val="Heading3"/>
      </w:pPr>
      <w:r>
        <w:t>《全国一体化算力网络国家枢纽节点建设推进方案》</w:t>
      </w:r>
    </w:p>
    <w:p>
      <w:r>
        <w:rPr>
          <w:color w:val="646464"/>
          <w:sz w:val="20"/>
        </w:rPr>
        <w:t>文号：发改高技〔2026〕89号</w:t>
        <w:br/>
        <w:t>发文机关：国家发展和改革委员会、国家数据局</w:t>
        <w:br/>
        <w:t>发文日期：2026-05-23</w:t>
        <w:br/>
        <w:t>原文链接：https://www.ndrc.gov.cn/xxgk/zcfb/</w:t>
      </w:r>
    </w:p>
    <w:p>
      <w:r>
        <w:t>推进八大算力枢纽节点互联互通，建立跨区域算力供需匹配平台，优化算力资源统一调度机制，提升算力基础设施整体利用效率。</w:t>
      </w:r>
    </w:p>
    <w:p>
      <w:pPr>
        <w:pStyle w:val="Heading3"/>
      </w:pPr>
      <w:r>
        <w:t>《数据要素流通标准体系建设行动方案》</w:t>
      </w:r>
    </w:p>
    <w:p>
      <w:r>
        <w:rPr>
          <w:color w:val="646464"/>
          <w:sz w:val="20"/>
        </w:rPr>
        <w:t>文号：国标委联〔2026〕12号</w:t>
        <w:br/>
        <w:t>发文机关：国家标准化管理委员会、国家数据局</w:t>
        <w:br/>
        <w:t>发文日期：2026-05-23</w:t>
        <w:br/>
        <w:t>原文链接：https://www.nda.gov.cn/sjj/zcfg/</w:t>
      </w:r>
    </w:p>
    <w:p>
      <w:r>
        <w:t>部署数据要素流通领域标准研制，重点推进数据格式、接口协议、质量评估、安全分级等基础标准，构建互联互通的数据流通标准体系。</w:t>
      </w:r>
    </w:p>
    <w:p>
      <w:pPr>
        <w:pStyle w:val="Heading3"/>
      </w:pPr>
      <w:r>
        <w:t>《互联网数据中心安全管理规定》</w:t>
      </w:r>
    </w:p>
    <w:p>
      <w:r>
        <w:rPr>
          <w:color w:val="646464"/>
          <w:sz w:val="20"/>
        </w:rPr>
        <w:t>文号：工信部网安〔2026〕22号</w:t>
        <w:br/>
        <w:t>发文机关：工业和信息化部</w:t>
        <w:br/>
        <w:t>发文日期：2026-05-23</w:t>
        <w:br/>
        <w:t>原文链接：https://www.miit.gov.cn/zwgk/zcwj/wjfb/index.html</w:t>
      </w:r>
    </w:p>
    <w:p>
      <w:r>
        <w:t>规范互联网数据中心安全管理，要求运营商落实等级保护制度，加强机房物理安全、网络边界防护和数据存储安全的全面管控。</w:t>
      </w:r>
    </w:p>
    <w:p>
      <w:pPr>
        <w:pStyle w:val="Heading3"/>
      </w:pPr>
      <w:r>
        <w:t>《生成式人工智能服务管理办法（修订版）》</w:t>
      </w:r>
    </w:p>
    <w:p>
      <w:r>
        <w:rPr>
          <w:color w:val="646464"/>
          <w:sz w:val="20"/>
        </w:rPr>
        <w:t>文号：网信办〔2026〕15号</w:t>
        <w:br/>
        <w:t>发文机关：国家互联网信息办公室</w:t>
        <w:br/>
        <w:t>发文日期：2026-05-23</w:t>
        <w:br/>
        <w:t>原文链接：https://www.cac.gov.cn/hjlyj/index.htm</w:t>
      </w:r>
    </w:p>
    <w:p>
      <w:r>
        <w:t>更新生成式AI服务监管要求，新增大模型安全评估义务、内容溯源机制、深度合成内容标注管理等规定，强化全流程监管。</w:t>
      </w:r>
    </w:p>
    <w:p>
      <w:pPr>
        <w:pStyle w:val="Heading3"/>
      </w:pPr>
      <w:r>
        <w:t>《数字政府建设2026年重点工作推进方案》</w:t>
      </w:r>
    </w:p>
    <w:p>
      <w:r>
        <w:rPr>
          <w:color w:val="646464"/>
          <w:sz w:val="20"/>
        </w:rPr>
        <w:t>文号：国办发〔2026〕21号</w:t>
        <w:br/>
        <w:t>发文机关：国务院办公厅</w:t>
        <w:br/>
        <w:t>发文日期：2026-05-23</w:t>
        <w:br/>
        <w:t>原文链接：https://www.gov.cn/zhengce/zhengceku/index.htm</w:t>
      </w:r>
    </w:p>
    <w:p>
      <w:r>
        <w:t>部署政务数据共享开放、一网通办深化、政务云安全建设等年度重点工作，推动数字政府建设提质增效，提升政务服务数字化水平。</w:t>
      </w:r>
    </w:p>
    <w:p>
      <w:pPr>
        <w:pStyle w:val="Heading3"/>
      </w:pPr>
      <w:r>
        <w:t>《经合组织人工智能原则（2026年更新版）》</w:t>
      </w:r>
    </w:p>
    <w:p>
      <w:r>
        <w:rPr>
          <w:color w:val="646464"/>
          <w:sz w:val="20"/>
        </w:rPr>
        <w:t>文号：OECD AI Principles 2026 Update</w:t>
        <w:br/>
        <w:t>发文机关：经济合作与发展组织（OECD）</w:t>
        <w:br/>
        <w:t>发文日期：2026-05-23</w:t>
        <w:br/>
        <w:t>原文链接：https://oecd.ai/en/ai-principles</w:t>
      </w:r>
    </w:p>
    <w:p>
      <w:r>
        <w:t>OECD更新《经合组织人工智能原则（2026年更新版）》，新增针对生成式AI的透明度和问责制要求，强调AI系统全生命周期风险管理，对各成员国AI治理政策具有重要参考价值。</w:t>
      </w:r>
    </w:p>
    <w:p>
      <w:pPr>
        <w:pStyle w:val="Heading1"/>
      </w:pPr>
      <w:r>
        <w:rPr>
          <w:color w:val="667EEA"/>
        </w:rPr>
        <w:t>二、过去一个月主要政策动向</w:t>
      </w:r>
    </w:p>
    <w:p>
      <w:pPr>
        <w:pStyle w:val="Heading3"/>
      </w:pPr>
      <w:r>
        <w:t>《算电协同高质量发展行动方案》</w:t>
      </w:r>
    </w:p>
    <w:p>
      <w:r>
        <w:rPr>
          <w:color w:val="646464"/>
          <w:sz w:val="20"/>
        </w:rPr>
        <w:t>文号：发改高技〔2026〕156号</w:t>
        <w:br/>
        <w:t>发文机关：国家发展和改革委员会、工业和信息化部、国家能源局、国家数据局</w:t>
        <w:br/>
        <w:t>发文日期：2026-05-03</w:t>
        <w:br/>
        <w:t>原文链接：https://www.ndrc.gov.cn/xxgk/zcfb/</w:t>
      </w:r>
    </w:p>
    <w:p>
      <w:r>
        <w:t>推进人工智能与能源双向赋能，构建绿色可持续的算力基础设施体系，推动算力与电力协同规划、联合调度。</w:t>
      </w:r>
    </w:p>
    <w:p>
      <w:pPr>
        <w:pStyle w:val="Heading3"/>
      </w:pPr>
      <w:r>
        <w:t>《推进数据要素市场化配置改革实施方案》</w:t>
      </w:r>
    </w:p>
    <w:p>
      <w:r>
        <w:rPr>
          <w:color w:val="646464"/>
          <w:sz w:val="20"/>
        </w:rPr>
        <w:t>文号：数局发〔2026〕3号</w:t>
        <w:br/>
        <w:t>发文机关：国家数据局、国家发展和改革委员会</w:t>
        <w:br/>
        <w:t>发文日期：2026-05-08</w:t>
        <w:br/>
        <w:t>原文链接：https://www.nda.gov.cn/sjj/zcfg/</w:t>
      </w:r>
    </w:p>
    <w:p>
      <w:r>
        <w:t>推动数据领域国家标准发布，建立数据质量评估体系，推进数据要素市场化配置，促进数据资源向数据资产转化。</w:t>
      </w:r>
    </w:p>
    <w:p>
      <w:pPr>
        <w:pStyle w:val="Heading3"/>
      </w:pPr>
      <w:r>
        <w:t>《中华人民共和国网络安全法（2025年修订版）》</w:t>
      </w:r>
    </w:p>
    <w:p>
      <w:r>
        <w:rPr>
          <w:color w:val="646464"/>
          <w:sz w:val="20"/>
        </w:rPr>
        <w:t>文号：中华人民共和国主席令第XX号</w:t>
        <w:br/>
        <w:t>发文机关：全国人民代表大会常务委员会</w:t>
        <w:br/>
        <w:t>发文日期：2026-04-23</w:t>
        <w:br/>
        <w:t>原文链接：https://www.npc.gov.cn/npc/c2/c30834/</w:t>
      </w:r>
    </w:p>
    <w:p>
      <w:r>
        <w:t>修订后的《中华人民共和国网络安全法（2025年修订版）》正式实施，新增人工智能治理条款，提高网络安全违法法律责任。</w:t>
      </w:r>
    </w:p>
    <w:p>
      <w:pPr>
        <w:pStyle w:val="Heading3"/>
      </w:pPr>
      <w:r>
        <w:t>《互联网信息服务算法推荐管理规定（2026年修订）》</w:t>
      </w:r>
    </w:p>
    <w:p>
      <w:r>
        <w:rPr>
          <w:color w:val="646464"/>
          <w:sz w:val="20"/>
        </w:rPr>
        <w:t>文号：网信办〔2026〕5号</w:t>
        <w:br/>
        <w:t>发文机关：国家互联网信息办公室、工业和信息化部</w:t>
        <w:br/>
        <w:t>发文日期：2026-04-28</w:t>
        <w:br/>
        <w:t>原文链接：https://www.cac.gov.cn/hjlyj/index.htm</w:t>
      </w:r>
    </w:p>
    <w:p>
      <w:r>
        <w:t>修订《互联网信息服务算法推荐管理规定（2026年修订）》，新增用户算法解释权和拒绝权，要求平台建立算法透明度报告制度，强化对算法歧视和滥用行为的监管。</w:t>
      </w:r>
    </w:p>
    <w:p>
      <w:pPr>
        <w:pStyle w:val="Heading3"/>
      </w:pPr>
      <w:r>
        <w:t>《新型工业化推进信息化建设工作方案》</w:t>
      </w:r>
    </w:p>
    <w:p>
      <w:r>
        <w:rPr>
          <w:color w:val="646464"/>
          <w:sz w:val="20"/>
        </w:rPr>
        <w:t>文号：工信部规〔2026〕33号</w:t>
        <w:br/>
        <w:t>发文机关：工业和信息化部</w:t>
        <w:br/>
        <w:t>发文日期：2026-05-05</w:t>
        <w:br/>
        <w:t>原文链接：https://www.miit.gov.cn/zwgk/zcwj/wjfb/index.html</w:t>
      </w:r>
    </w:p>
    <w:p>
      <w:r>
        <w:t>推进新型工业化与信息化深度融合，部署工业互联网、工业软件、工业大数据等重点领域建设任务，推动制造业数字化转型升级。</w:t>
      </w:r>
    </w:p>
    <w:p>
      <w:pPr>
        <w:pStyle w:val="Heading3"/>
      </w:pPr>
      <w:r>
        <w:t>《全球数字契约实施框架》</w:t>
      </w:r>
    </w:p>
    <w:p>
      <w:r>
        <w:rPr>
          <w:color w:val="646464"/>
          <w:sz w:val="20"/>
        </w:rPr>
        <w:t>文号：A/RES/79/1</w:t>
        <w:br/>
        <w:t>发文机关：联合国大会（UN General Assembly）</w:t>
        <w:br/>
        <w:t>发文日期：2026-05-13</w:t>
        <w:br/>
        <w:t>原文链接：https://www.un.org/techenvoy/global-digital-compact</w:t>
      </w:r>
    </w:p>
    <w:p>
      <w:r>
        <w:t>《全球数字契约实施框架》正式生效，确立数据跨境流动、算法透明度、数字公共基础设施等国际规则，对各成员国数字治理政策制定具有重要参考价值。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