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生成日期：2026-06-04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《国家数据局印发2026年数字经济发展工作要点》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原文链接：http://www.szlhq.gov.cn/bmxxgk/zwfwj/dtxx_124513/gzdt_124514/content/post_12804699.html</w:t>
      </w:r>
    </w:p>
    <w:p>
      <w:pPr>
        <w:ind w:left="240"/>
      </w:pPr>
      <w:r>
        <w:t>部署全国一体化算力网建设，强化数据赋能AI发展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发文日期：2026-05-26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聚焦AI赋能新型工业化，组织项目入库储备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《北京市数据出境负面清单及管理办法》</w:t>
      </w:r>
    </w:p>
    <w:p>
      <w:r>
        <w:rPr>
          <w:color w:val="646464"/>
          <w:sz w:val="20"/>
        </w:rPr>
        <w:t>文　　号：暂无</w:t>
        <w:br/>
        <w:t>发文机关：北京市互联网信息办公室等三部门</w:t>
        <w:br/>
        <w:t>发文日期：2026-05-18</w:t>
        <w:br/>
        <w:t>原文链接：https://www.cac.gov.cn/wxzw/A0937index_1.htm</w:t>
      </w:r>
    </w:p>
    <w:p>
      <w:pPr>
        <w:ind w:left="240"/>
      </w:pPr>
      <w:r>
        <w:t>明确自贸区数据出境负面清单及管理要求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《上海市数据出境负面清单》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发文日期：2026-04-29</w:t>
        <w:br/>
        <w:t>原文链接：https://www.cac.gov.cn/wxzw/A0937index_1.htm</w:t>
      </w:r>
    </w:p>
    <w:p>
      <w:pPr>
        <w:ind w:left="240"/>
      </w:pPr>
      <w:r>
        <w:t>发布自贸区数据出境负面清单，规范跨境流动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发文日期：2026-05-29</w:t>
        <w:br/>
        <w:t>原文链接：https://www.miit.gov.cn/xbymdz/xwfb/gxdt/</w:t>
      </w:r>
    </w:p>
    <w:p>
      <w:pPr>
        <w:ind w:left="240"/>
      </w:pPr>
      <w:r>
        <w:t>部署信息技术标准化工作，推动产业规范发展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《李乐成主持召开工业和信息化部全面深化改革领导小组会议》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发文日期：2026-05-29</w:t>
        <w:br/>
        <w:t>原文链接：https://www.miit.gov.cn/xbymdz/xwfb/gxdt/</w:t>
      </w:r>
    </w:p>
    <w:p>
      <w:pPr>
        <w:ind w:left="240"/>
      </w:pPr>
      <w:r>
        <w:t>研究深化工业和信息化领域改革任务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《2026金砖国家新工业革命伙伴关系论坛在厦门开幕》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发文日期：2026-05-27</w:t>
        <w:br/>
        <w:t>原文链接：https://www.miit.gov.cn/xbymdz/xwfb/gxdt/</w:t>
      </w:r>
    </w:p>
    <w:p>
      <w:pPr>
        <w:ind w:left="240"/>
      </w:pPr>
      <w:r>
        <w:t>推动金砖国家工业互联网与数字经济合作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发文日期：2026-05-08</w:t>
        <w:br/>
        <w:t>原文链接：https://www.cac.gov.cn/wxzw/zcfg/A093703index_1.htm</w:t>
      </w:r>
    </w:p>
    <w:p>
      <w:pPr>
        <w:ind w:left="240"/>
      </w:pPr>
      <w:r>
        <w:t>明确智能体发展原则，推动规范应用与创新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《2026年全民数字素养与技能提升月启动》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发文日期：2026-05-19</w:t>
        <w:br/>
        <w:t>原文链接：https://gzwxb.gov.cn/url/320</w:t>
      </w:r>
    </w:p>
    <w:p>
      <w:pPr>
        <w:ind w:left="240"/>
      </w:pPr>
      <w:r>
        <w:t>在南宁启动，提升全民数字素养与技能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发文日期：2026-04-30</w:t>
      </w:r>
    </w:p>
    <w:p>
      <w:pPr>
        <w:ind w:left="240"/>
      </w:pPr>
      <w:r>
        <w:t>举办大赛发挥数据要素乘数效应，赋能高质量发展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《福州市2026年省级工业数字化转型项目申报通知》</w:t>
      </w:r>
    </w:p>
    <w:p>
      <w:r>
        <w:rPr>
          <w:color w:val="646464"/>
          <w:sz w:val="20"/>
        </w:rPr>
        <w:t>文　　号：闽工信函信息〔2026〕43号</w:t>
        <w:br/>
        <w:t>发文机关：福州市工业和信息化局</w:t>
        <w:br/>
        <w:t>发文日期：2026-02-03</w:t>
        <w:br/>
        <w:t>原文链接：https://www.fuzhou.gov.cn/zgfzzt/sjxw/fzjx/tzgg/202602/t20260204_5281427.htm</w:t>
      </w:r>
    </w:p>
    <w:p>
      <w:pPr>
        <w:ind w:left="240"/>
      </w:pPr>
      <w:r>
        <w:t>组织工业互联网平台、数智化标杆项目申报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《山西省推进数字经济全面发展实施方案（2026年）》</w:t>
      </w:r>
    </w:p>
    <w:p>
      <w:r>
        <w:rPr>
          <w:color w:val="646464"/>
          <w:sz w:val="20"/>
        </w:rPr>
        <w:t>文　　号：暂无</w:t>
        <w:br/>
        <w:t>发文机关：山西省人民政府</w:t>
        <w:br/>
        <w:t>发文日期：2026-01-04</w:t>
        <w:br/>
        <w:t>原文链接：https://www.shanxi.gov.cn/zfxxgk/zfcbw/zfgb2/2026nzfgb/d1q_76594/szfbgtwj_77828/202601/t20260105_10032387.shtml</w:t>
      </w:r>
    </w:p>
    <w:p>
      <w:pPr>
        <w:ind w:left="240"/>
      </w:pPr>
      <w:r>
        <w:t>部署算力强基、数据流通等数字经济重点任务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国家数据局2026年数字经济发展工作要点首次将“数据赋能人工智能”单列为专项行动，提出实施强基扩容、应用赋能等6大行动。这标志着数据政策从“要素化”向“AI就绪”深度转型，逻辑在于高质量数据集成为大模型竞争的关键瓶颈。下一步，预计各地将密集出台数据标注基地、行业数据集标准等配套细则，数据供给侧的产业机会将显著增加。</w:t>
      </w:r>
    </w:p>
    <w:p>
      <w:r>
        <w:rPr>
          <w:b/>
          <w:color w:val="5B6DE4"/>
        </w:rPr>
        <w:t xml:space="preserve">②  </w:t>
      </w:r>
      <w:r>
        <w:t>趋势2（技术路线）：智能体规范应用与创新发展实施意见的出台，表明中国正加速构建面向AI智能体的治理框架。与2023年《生成式AI管理办法》聚焦模型不同，此次将治理对象延伸至自主决策的智能体，反映出对AI自主行为风险的提前防范。研判：后续可能出台智能体备案制、行为可追溯等技术标准，企业需提前布局可解释AI与安全监控能力。</w:t>
      </w:r>
    </w:p>
    <w:p>
      <w:r>
        <w:rPr>
          <w:b/>
          <w:color w:val="5B6DE4"/>
        </w:rPr>
        <w:t xml:space="preserve">③  </w:t>
      </w:r>
      <w:r>
        <w:t>趋势3（区域格局）：山西、天津、青岛等地密集发布2024—2026年算力与数字经济实施方案，呈现“东部引领、中西部追赶”的算力布局。山西方案特别强调“算力强基揭榜行动”和高速数据传输网络建设，意在弥补区位劣势。逻辑在于“东数西算”工程进入落地深水区，地方需通过差异化定位争取国家级算力枢纽资源。未来，算力网络互联互通将成为区域竞争新焦点。</w:t>
      </w:r>
    </w:p>
    <w:p>
      <w:r>
        <w:rPr>
          <w:b/>
          <w:color w:val="5B6DE4"/>
        </w:rPr>
        <w:t xml:space="preserve">④  </w:t>
      </w:r>
      <w:r>
        <w:t>趋势4（产业影响）：广东省2026年AI赋能新型工业化标杆项目入库储备工作，将AI应用从“试点示范”推向“规模化入库”。此举旨在通过财政资金引导，加速AI在制造业的渗透。逻辑在于制造业数字化转型已进入深水区，单纯信息化改造边际效益递减，需AI注入新动能。研判：2026年下半年，AI在质检、排产、供应链优化等场景的落地案例将大幅增加，相关软硬件供应商迎来订单放量。</w:t>
      </w:r>
    </w:p>
    <w:p>
      <w:r>
        <w:rPr>
          <w:b/>
          <w:color w:val="5B6DE4"/>
        </w:rPr>
        <w:t xml:space="preserve">⑤  </w:t>
      </w:r>
      <w:r>
        <w:t>趋势5（安全合规）：北京、上海两地相继发布数据出境负面清单，标志着数据跨境流动管理从“原则性规定”进入“清单化实操”阶段。两地清单均针对自贸区，体现“以开放促安全”的试点思路。逻辑在于平衡数字贸易便利化与国家安全，负面清单模式降低了企业合规成本。下一步，预计更多省市将跟进，且清单内容可能动态调整，企业需建立常态化合规监测机制。</w:t>
      </w:r>
    </w:p>
    <w:p>
      <w:r>
        <w:rPr>
          <w:b/>
          <w:color w:val="5B6DE4"/>
        </w:rPr>
        <w:t xml:space="preserve">⑥  </w:t>
      </w:r>
      <w:r>
        <w:t>趋势6（国际比较）：中国以“数据要素×”大赛和AI赋能新型工业化政策推动数据与产业融合，而欧盟《AI法案》侧重风险分级与基本权利保护，美国则通过行政令强调AI安全测试与隐私保护。中国路径更突出“应用驱动”和“产业赋能”，欧盟重“合规”，美国重“安全”。启示：中国可在输出“数据要素+AI”产业方案时，借鉴欧盟分级监管思路完善国内规则，同时加强中美在AI安全标准上的对话，避免技术脱钩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