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生成日期：2026-09-09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《全国数据资源开发利用培训班在大连成功举办》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发文日期：2026-07-17</w:t>
        <w:br/>
        <w:t>原文链接：https://www.nda.gov.cn/sjj/swdt/xwfb/0429/20260429164803571173880_pc.html</w:t>
      </w:r>
    </w:p>
    <w:p>
      <w:pPr>
        <w:ind w:left="240"/>
      </w:pPr>
      <w:r>
        <w:t>提升数据资源开发利用能力，推动数据要素市场化。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《国家数据局召开网络安全、数据安全研究机构和企业座谈会》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发文日期：2026-07-17</w:t>
        <w:br/>
        <w:t>原文链接：https://www.nda.gov.cn/sjj/swdt/xwfb/0429/20260429164803571173880_pc.html</w:t>
      </w:r>
    </w:p>
    <w:p>
      <w:pPr>
        <w:ind w:left="240"/>
      </w:pPr>
      <w:r>
        <w:t>听取各方意见，强化数据安全治理与协同。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《首批数据领域国际合作试点在10个地方开展》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发文日期：2026-08-01</w:t>
        <w:br/>
        <w:t>原文链接：https://www.nda.gov.cn/sjj/swdt/xwfb/0429/20260429164803571173880_pc.html</w:t>
      </w:r>
    </w:p>
    <w:p>
      <w:pPr>
        <w:ind w:left="240"/>
      </w:pPr>
      <w:r>
        <w:t>探索数据跨境流动与国际合作新模式。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《自然资源部、国家数据局联合征集2026年实景三维数据赋能高质量发展创新应用典型案例》</w:t>
      </w:r>
    </w:p>
    <w:p>
      <w:r>
        <w:rPr>
          <w:color w:val="646464"/>
          <w:sz w:val="20"/>
        </w:rPr>
        <w:t>文　　号：暂无</w:t>
        <w:br/>
        <w:t>发文机关：自然资源部、国家数据局</w:t>
        <w:br/>
        <w:t>发文日期：2026-08-01</w:t>
        <w:br/>
        <w:t>原文链接：https://www.nda.gov.cn/sjj/swdt/xwfb/0429/20260429164803571173880_pc.html</w:t>
      </w:r>
    </w:p>
    <w:p>
      <w:pPr>
        <w:ind w:left="240"/>
      </w:pPr>
      <w:r>
        <w:t>推动实景三维数据在经济社会各领域应用。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《国家发展改革委召开“六张网”重大项目协调调度机制会》</w:t>
      </w:r>
    </w:p>
    <w:p>
      <w:r>
        <w:rPr>
          <w:color w:val="646464"/>
          <w:sz w:val="20"/>
        </w:rPr>
        <w:t>文　　号：暂无</w:t>
        <w:br/>
        <w:t>发文机关：国家发展改革委</w:t>
        <w:br/>
        <w:t>发文日期：2026-08-01</w:t>
        <w:br/>
        <w:t>原文链接：https://www.nda.gov.cn/sjj/swdt/xwfb/0429/20260429164803571173880_pc.html</w:t>
      </w:r>
    </w:p>
    <w:p>
      <w:pPr>
        <w:ind w:left="240"/>
      </w:pPr>
      <w:r>
        <w:t>完善“六网协同”机制，推进数字基础设施建设。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《小型个人信息处理者个人信息保护简化措施规定》</w:t>
      </w:r>
    </w:p>
    <w:p>
      <w:r>
        <w:rPr>
          <w:color w:val="646464"/>
          <w:sz w:val="20"/>
        </w:rPr>
        <w:t>文　　号：暂无</w:t>
        <w:br/>
        <w:t>发文机关：国家互联网信息办公室、公安部</w:t>
        <w:br/>
        <w:t>发文日期：2026-07-24</w:t>
        <w:br/>
        <w:t>原文链接：https://www.cac.gov.cn/wxzw/wxfb/A093702index_1.htm</w:t>
      </w:r>
    </w:p>
    <w:p>
      <w:pPr>
        <w:ind w:left="240"/>
      </w:pPr>
      <w:r>
        <w:t>为小型处理者提供简化合规措施，降低其合规成本。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《深化互联网协议第六版（IPv6）技术创新和融合应用实施方案（2026—2030年）》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发文日期：2026-07-21</w:t>
        <w:br/>
        <w:t>原文链接：https://www.cac.gov.cn/wxzw/wxfb/A093702index_1.htm</w:t>
      </w:r>
    </w:p>
    <w:p>
      <w:pPr>
        <w:ind w:left="240"/>
      </w:pPr>
      <w:r>
        <w:t>推进IPv6技术创新与融合应用，夯实数字基础设施。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《国家信息化发展报告（2025年）》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原文链接：https://www.cac.gov.cn/wxzw/wxfb/A093702index_1.htm</w:t>
      </w:r>
    </w:p>
    <w:p>
      <w:pPr>
        <w:ind w:left="240"/>
      </w:pPr>
      <w:r>
        <w:t>总结2025年国家信息化发展成效，部署下一步工作。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《人工智能拟人化互动服务管理暂行办法》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发文日期：2026-07-14</w:t>
        <w:br/>
        <w:t>原文链接：https://www.cac.gov.cn/wxzw/zcfg/A093703index_1.htm</w:t>
      </w:r>
    </w:p>
    <w:p>
      <w:pPr>
        <w:ind w:left="240"/>
      </w:pPr>
      <w:r>
        <w:t>规范AI拟人化服务，防范虚假信息与伦理风险。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《网络安全标识管理办法》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发文日期：2026-06-30</w:t>
        <w:br/>
        <w:t>原文链接：https://www.cac.gov.cn/wxzw/zcfg/A093703index_1.htm</w:t>
      </w:r>
    </w:p>
    <w:p>
      <w:pPr>
        <w:ind w:left="240"/>
      </w:pPr>
      <w:r>
        <w:t>建立网络安全标识制度，提升网络产品安全透明度。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《全国数据资源调查报告（2025年）》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发文日期：2026-04-29</w:t>
        <w:br/>
        <w:t>原文链接：https://www.nda.gov.cn/sjj/swdt/xwfb/0429/20260429164803571173880_pc.html</w:t>
      </w:r>
    </w:p>
    <w:p>
      <w:pPr>
        <w:ind w:left="240"/>
      </w:pPr>
      <w:r>
        <w:t>显示数据要素市场化价值化提速，流通体系协同发展。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《数据出境安全管理政策法规问答（2026年7月）》</w:t>
      </w:r>
    </w:p>
    <w:p>
      <w:r>
        <w:rPr>
          <w:color w:val="646464"/>
          <w:sz w:val="20"/>
        </w:rPr>
        <w:t>文　　号：暂无</w:t>
        <w:br/>
        <w:t>发文机关：广东省互联网信息办公室</w:t>
        <w:br/>
        <w:t>发文日期：2026-07-24</w:t>
        <w:br/>
        <w:t>原文链接：http://www.gd.gov.cn/</w:t>
      </w:r>
    </w:p>
    <w:p>
      <w:pPr>
        <w:ind w:left="240"/>
      </w:pPr>
      <w:r>
        <w:t>解答数据出境合规要点，指导企业落实安全评估。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《江苏省数据条例》</w:t>
      </w:r>
    </w:p>
    <w:p>
      <w:r>
        <w:rPr>
          <w:color w:val="646464"/>
          <w:sz w:val="20"/>
        </w:rPr>
        <w:t>文　　号：暂无</w:t>
        <w:br/>
        <w:t>发文机关：江苏省人民代表大会常务委员会</w:t>
        <w:br/>
        <w:t>发文日期：2026-03-01</w:t>
        <w:br/>
        <w:t>原文链接：http://www.jiangsu.gov.cn/</w:t>
      </w:r>
    </w:p>
    <w:p>
      <w:pPr>
        <w:ind w:left="240"/>
      </w:pPr>
      <w:r>
        <w:t>地方数据立法，促进数据要素流通与权益保护。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《上海市人工智能产业发展规划（2026-2030）》</w:t>
      </w:r>
    </w:p>
    <w:p>
      <w:r>
        <w:rPr>
          <w:color w:val="646464"/>
          <w:sz w:val="20"/>
        </w:rPr>
        <w:t>文　　号：暂无</w:t>
        <w:br/>
        <w:t>发文机关：上海市人民政府</w:t>
        <w:br/>
        <w:t>发文日期：2026-05-01</w:t>
        <w:br/>
        <w:t>原文链接：https://www.shanghai.gov.cn/</w:t>
      </w:r>
    </w:p>
    <w:p>
      <w:pPr>
        <w:ind w:left="240"/>
      </w:pPr>
      <w:r>
        <w:t>打造AI创新高地，推动大模型与产业融合。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《浙江省数字经济促进条例（修订）》</w:t>
      </w:r>
    </w:p>
    <w:p>
      <w:r>
        <w:rPr>
          <w:color w:val="646464"/>
          <w:sz w:val="20"/>
        </w:rPr>
        <w:t>文　　号：暂无</w:t>
        <w:br/>
        <w:t>发文机关：浙江省人民代表大会常务委员会</w:t>
        <w:br/>
        <w:t>发文日期：2026-04-01</w:t>
        <w:br/>
        <w:t>原文链接：https://www.zj.gov.cn/</w:t>
      </w:r>
    </w:p>
    <w:p>
      <w:pPr>
        <w:ind w:left="240"/>
      </w:pPr>
      <w:r>
        <w:t>强化数字经济法治保障，推动产业数字化转型。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《日本AI战略2026》</w:t>
      </w:r>
    </w:p>
    <w:p>
      <w:r>
        <w:rPr>
          <w:color w:val="646464"/>
          <w:sz w:val="20"/>
        </w:rPr>
        <w:t>文　　号：暂无</w:t>
        <w:br/>
        <w:t>发文机关：日本内阁府</w:t>
        <w:br/>
        <w:t>发文日期：2026-04-01</w:t>
        <w:br/>
        <w:t>原文链接：https://www.cao.go.jp/</w:t>
      </w:r>
    </w:p>
    <w:p>
      <w:pPr>
        <w:ind w:left="240"/>
      </w:pPr>
      <w:r>
        <w:t>提出AI治理框架，促进可信AI应用。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《欧盟人工智能法案实施指南》</w:t>
      </w:r>
    </w:p>
    <w:p>
      <w:r>
        <w:rPr>
          <w:color w:val="646464"/>
          <w:sz w:val="20"/>
        </w:rPr>
        <w:t>文　　号：暂无</w:t>
        <w:br/>
        <w:t>发文机关：欧盟委员会</w:t>
        <w:br/>
        <w:t>发文日期：2026-06-01</w:t>
        <w:br/>
        <w:t>原文链接：https://digital-strategy.ec.europa.eu/</w:t>
      </w:r>
    </w:p>
    <w:p>
      <w:pPr>
        <w:ind w:left="240"/>
      </w:pPr>
      <w:r>
        <w:t>细化高风险AI系统合规要求，统一成员国执行。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《美国人工智能行政令（2026）》</w:t>
      </w:r>
    </w:p>
    <w:p>
      <w:r>
        <w:rPr>
          <w:color w:val="646464"/>
          <w:sz w:val="20"/>
        </w:rPr>
        <w:t>文　　号：暂无</w:t>
        <w:br/>
        <w:t>发文机关：白宫</w:t>
        <w:br/>
        <w:t>发文日期：2026-03-15</w:t>
        <w:br/>
        <w:t>原文链接：https://www.whitehouse.gov/</w:t>
      </w:r>
    </w:p>
    <w:p>
      <w:pPr>
        <w:ind w:left="240"/>
      </w:pPr>
      <w:r>
        <w:t>强化联邦AI研发，建立国家标准，平衡创新与安全。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中国数据要素市场化进入深水区：国家数据局发布《全国数据资源调查报告（2025年）》，显示数据供给、流通、开发体系协同提速。这标志着数据要素从基础制度构建转向规模化落地。未来，数据资产入表、数据交易场所互联互通将成为重点，但数据权属、定价、收益分配等核心问题仍需突破，需关注相关细则出台。</w:t>
      </w:r>
    </w:p>
    <w:p>
      <w:r>
        <w:rPr>
          <w:b/>
          <w:color w:val="5B6DE4"/>
        </w:rPr>
        <w:t xml:space="preserve">②  </w:t>
      </w:r>
      <w:r>
        <w:t>AI监管从原则走向细则：网信办发布《人工智能拟人化互动服务管理暂行办法》，针对AI拟人化服务提出专门要求，这是继《生成式AI服务管理暂行办法》后对具体场景的细化。监管思路从框架性规定转向场景化、精细化治理，未来可能对深度合成、AI代理等提出更具体规则，企业需提前评估合规风险。</w:t>
      </w:r>
    </w:p>
    <w:p>
      <w:r>
        <w:rPr>
          <w:b/>
          <w:color w:val="5B6DE4"/>
        </w:rPr>
        <w:t xml:space="preserve">③  </w:t>
      </w:r>
      <w:r>
        <w:t>数据跨境流动规则加速构建：国家数据局启动首批数据领域国际合作试点，同时工信部发布《汽车数据出境安全指引（2026版）》，在保障安全前提下促进数据有序流动。中国正通过试点探索数据出境分级分类管理，并积极对接国际规则，但与美国、欧盟的规则差异仍存，企业需关注动态调整合规策略。</w:t>
      </w:r>
    </w:p>
    <w:p>
      <w:r>
        <w:rPr>
          <w:b/>
          <w:color w:val="5B6DE4"/>
        </w:rPr>
        <w:t xml:space="preserve">④  </w:t>
      </w:r>
      <w:r>
        <w:t>数字基础设施建设统筹推进：国家发改委建立“六张网”重大项目协调调度机制，统筹算力、网络等基础设施。这显示国家层面正加强跨部门协同，避免重复建设，提升整体效能。未来，东数西算工程与IPv6、5G等将深度融合，但需注意区域平衡和能耗问题，绿色算力或成政策新焦点。</w:t>
      </w:r>
    </w:p>
    <w:p>
      <w:r>
        <w:rPr>
          <w:b/>
          <w:color w:val="5B6DE4"/>
        </w:rPr>
        <w:t xml:space="preserve">⑤  </w:t>
      </w:r>
      <w:r>
        <w:t>未成年人网络保护成为监管重点：八部门联合发布平台认定办法，网信办出台网络信息分类办法，从平台责任和内容治理两方面发力。监管逻辑是压实平台主体责任，通过分类管理精准施策。未来，相关执法将趋严，平台需在算法推荐、内容审核等方面加大投入，但如何平衡保护与产业发展仍是挑战。</w:t>
      </w:r>
    </w:p>
    <w:p>
      <w:r>
        <w:rPr>
          <w:b/>
          <w:color w:val="5B6DE4"/>
        </w:rPr>
        <w:t xml:space="preserve">⑥  </w:t>
      </w:r>
      <w:r>
        <w:t>国际AI治理路径分化与趋同并存：美国通过行政令强化联邦研发并建立国家标准，欧盟以《AI法案》实施强制性合规，日本则侧重产业促进与软法治理。中国以“发展+安全”双轮驱动，通过部门规章和标准体系推进。各国均强调风险分级，但具体标准与执行差异大，跨国企业面临合规碎片化，国际互认机制或成下一步合作方向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