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生成日期：2026-06-14　　数据 · 算力 · 信息化</w:t>
      </w:r>
    </w:p>
    <w:p/>
    <w:p>
      <w:pPr>
        <w:pStyle w:val="Heading1"/>
      </w:pPr>
      <w:r>
        <w:rPr>
          <w:color w:val="5B6DE4"/>
          <w:sz w:val="28"/>
        </w:rPr>
        <w:t>一、过去 24 小时关键政策</w:t>
      </w:r>
    </w:p>
    <w:p>
      <w:r>
        <w:rPr>
          <w:b/>
          <w:sz w:val="24"/>
        </w:rPr>
        <w:t>《第五届全国信息技术标准化技术委员会第一次全体会议在京召开》</w:t>
      </w:r>
    </w:p>
    <w:p>
      <w:r>
        <w:rPr>
          <w:color w:val="646464"/>
          <w:sz w:val="20"/>
        </w:rPr>
        <w:t>文　　号：暂无</w:t>
        <w:br/>
        <w:t>发文机关：工业和信息化部</w:t>
        <w:br/>
        <w:t>发文日期：2026-06-01</w:t>
        <w:br/>
        <w:t>原文链接：https://www.miit.gov.cn/xbymdz/xwfb/gxdt/</w:t>
      </w:r>
    </w:p>
    <w:p>
      <w:pPr>
        <w:ind w:left="240"/>
      </w:pPr>
      <w:r>
        <w:t>部署信息技术标准化重点工作，推动数字技术标准体系建设</w:t>
      </w:r>
    </w:p>
    <w:p>
      <w:pPr>
        <w:spacing w:before="0" w:after="80"/>
        <w:pBdr>
          <w:bottom w:val="single" w:sz="4" w:space="1" w:color="DDDDDD"/>
        </w:pBdr>
      </w:pPr>
    </w:p>
    <w:p>
      <w:r>
        <w:rPr>
          <w:b/>
          <w:sz w:val="24"/>
        </w:rPr>
        <w:t>《刘烈宏赴温州市、深圳市、东莞市调研数据要素市场化配置改革工作》</w:t>
      </w:r>
    </w:p>
    <w:p>
      <w:r>
        <w:rPr>
          <w:color w:val="646464"/>
          <w:sz w:val="20"/>
        </w:rPr>
        <w:t>文　　号：暂无</w:t>
        <w:br/>
        <w:t>发文机关：国家数据局</w:t>
        <w:br/>
        <w:t>发文日期：2026-06-01</w:t>
        <w:br/>
        <w:t>原文链接：https://www.ndrc.gov.cn/fzggw/wld/llh/zyhd/index.html</w:t>
      </w:r>
    </w:p>
    <w:p>
      <w:pPr>
        <w:ind w:left="240"/>
      </w:pPr>
      <w:r>
        <w:t>调研数据要素市场化配置改革进展，推动数据产权与流通机制建设</w:t>
      </w:r>
    </w:p>
    <w:p>
      <w:pPr>
        <w:spacing w:before="0" w:after="80"/>
        <w:pBdr>
          <w:bottom w:val="single" w:sz="4" w:space="1" w:color="DDDDDD"/>
        </w:pBdr>
      </w:pPr>
    </w:p>
    <w:p>
      <w:r>
        <w:rPr>
          <w:b/>
          <w:sz w:val="24"/>
        </w:rPr>
        <w:t>《《“人工智能+信息通信”创新发展实施意见（2026—2028年）》》</w:t>
      </w:r>
    </w:p>
    <w:p>
      <w:r>
        <w:rPr>
          <w:color w:val="646464"/>
          <w:sz w:val="20"/>
        </w:rPr>
        <w:t>文　　号：工信部通信〔2026〕121号</w:t>
        <w:br/>
        <w:t>发文机关：工业和信息化部</w:t>
        <w:br/>
        <w:t>发文日期：2026-06-03</w:t>
        <w:br/>
        <w:t>原文链接：https://www.miit.gov.cn/search/zcwjk.html?websiteid=110000000000000&amp;tpl=14&amp;category=183</w:t>
      </w:r>
    </w:p>
    <w:p>
      <w:pPr>
        <w:ind w:left="240"/>
      </w:pPr>
      <w:r>
        <w:t>推动AI与信息通信深度融合，明确三年重点任务与创新方向</w:t>
      </w:r>
    </w:p>
    <w:p>
      <w:pPr>
        <w:spacing w:before="0" w:after="80"/>
        <w:pBdr>
          <w:bottom w:val="single" w:sz="4" w:space="1" w:color="DDDDDD"/>
        </w:pBdr>
      </w:pPr>
    </w:p>
    <w:p>
      <w:r>
        <w:rPr>
          <w:b/>
          <w:sz w:val="24"/>
        </w:rPr>
        <w:t>《广东省工业和信息化厅关于开展2026年支持推动人工智能赋能新型工业化标杆项目入库储备工作的通知》</w:t>
      </w:r>
    </w:p>
    <w:p>
      <w:r>
        <w:rPr>
          <w:color w:val="646464"/>
          <w:sz w:val="20"/>
        </w:rPr>
        <w:t>文　　号：暂无</w:t>
        <w:br/>
        <w:t>发文机关：广东省工业和信息化厅</w:t>
        <w:br/>
        <w:t>发文日期：2026-06-01</w:t>
        <w:br/>
        <w:t>原文链接：http://www.jiangmen.gov.cn/jmgxj/attachment/0/349/349704/3350943.pdf</w:t>
      </w:r>
    </w:p>
    <w:p>
      <w:pPr>
        <w:ind w:left="240"/>
      </w:pPr>
      <w:r>
        <w:t>聚焦AI赋能新型工业化，组织标杆项目入库储备并给予奖补</w:t>
      </w:r>
    </w:p>
    <w:p>
      <w:pPr>
        <w:spacing w:before="0" w:after="80"/>
        <w:pBdr>
          <w:bottom w:val="single" w:sz="4" w:space="1" w:color="DDDDDD"/>
        </w:pBdr>
      </w:pPr>
    </w:p>
    <w:p/>
    <w:p>
      <w:pPr>
        <w:pStyle w:val="Heading1"/>
      </w:pPr>
      <w:r>
        <w:rPr>
          <w:color w:val="5B6DE4"/>
          <w:sz w:val="28"/>
        </w:rPr>
        <w:t>二、过去一个月主要政策动向</w:t>
      </w:r>
    </w:p>
    <w:p>
      <w:r>
        <w:rPr>
          <w:b/>
          <w:sz w:val="24"/>
        </w:rPr>
        <w:t>《国家数据局印发2026年数字经济发展工作要点》</w:t>
      </w:r>
    </w:p>
    <w:p>
      <w:r>
        <w:rPr>
          <w:color w:val="646464"/>
          <w:sz w:val="20"/>
        </w:rPr>
        <w:t>文　　号：暂无</w:t>
        <w:br/>
        <w:t>发文机关：国家数据局</w:t>
        <w:br/>
        <w:t>发文日期：2026-05-20</w:t>
        <w:br/>
        <w:t>原文链接：http://dsjfzj.gxzf.gov.cn/dtyw/t27693058.shtml</w:t>
      </w:r>
    </w:p>
    <w:p>
      <w:pPr>
        <w:ind w:left="240"/>
      </w:pPr>
      <w:r>
        <w:t>部署8方面重点任务，包括数据产权、公共数据授权运营、数据市场建设等</w:t>
      </w:r>
    </w:p>
    <w:p>
      <w:pPr>
        <w:spacing w:before="0" w:after="80"/>
        <w:pBdr>
          <w:bottom w:val="single" w:sz="4" w:space="1" w:color="DDDDDD"/>
        </w:pBdr>
      </w:pPr>
    </w:p>
    <w:p>
      <w:r>
        <w:rPr>
          <w:b/>
          <w:sz w:val="24"/>
        </w:rPr>
        <w:t>《智能体规范应用与创新发展实施意见》</w:t>
      </w:r>
    </w:p>
    <w:p>
      <w:r>
        <w:rPr>
          <w:color w:val="646464"/>
          <w:sz w:val="20"/>
        </w:rPr>
        <w:t>文　　号：暂无</w:t>
        <w:br/>
        <w:t>发文机关：国家网信办、国家发展改革委、工业和信息化部</w:t>
        <w:br/>
        <w:t>发文日期：2026-05-12</w:t>
        <w:br/>
        <w:t>原文链接：https://www.cac.gov.cn/wxzw/wxfb/A093702index_1.htm</w:t>
      </w:r>
    </w:p>
    <w:p>
      <w:pPr>
        <w:ind w:left="240"/>
      </w:pPr>
      <w:r>
        <w:t>三部门联合印发，规范智能体应用并促进创新发展</w:t>
      </w:r>
    </w:p>
    <w:p>
      <w:pPr>
        <w:spacing w:before="0" w:after="80"/>
        <w:pBdr>
          <w:bottom w:val="single" w:sz="4" w:space="1" w:color="DDDDDD"/>
        </w:pBdr>
      </w:pPr>
    </w:p>
    <w:p>
      <w:r>
        <w:rPr>
          <w:b/>
          <w:sz w:val="24"/>
        </w:rPr>
        <w:t>《关于发布生成式人工智能服务已备案信息的公告（2026年3月至4月）》</w:t>
      </w:r>
    </w:p>
    <w:p>
      <w:r>
        <w:rPr>
          <w:color w:val="646464"/>
          <w:sz w:val="20"/>
        </w:rPr>
        <w:t>文　　号：暂无</w:t>
        <w:br/>
        <w:t>发文机关：国家互联网信息办公室</w:t>
        <w:br/>
        <w:t>发文日期：2026-05-22</w:t>
        <w:br/>
        <w:t>原文链接：https://www.cac.gov.cn/wxzw/wxfb/A093702index_1.htm</w:t>
      </w:r>
    </w:p>
    <w:p>
      <w:pPr>
        <w:ind w:left="240"/>
      </w:pPr>
      <w:r>
        <w:t>公布2026年3-4月生成式AI服务备案信息，强化合规监管</w:t>
      </w:r>
    </w:p>
    <w:p>
      <w:pPr>
        <w:spacing w:before="0" w:after="80"/>
        <w:pBdr>
          <w:bottom w:val="single" w:sz="4" w:space="1" w:color="DDDDDD"/>
        </w:pBdr>
      </w:pPr>
    </w:p>
    <w:p>
      <w:r>
        <w:rPr>
          <w:b/>
          <w:sz w:val="24"/>
        </w:rPr>
        <w:t>《国家互联网信息办公室关于发布第二十三批境内区块链信息服务备案编号的公告》</w:t>
      </w:r>
    </w:p>
    <w:p>
      <w:r>
        <w:rPr>
          <w:color w:val="646464"/>
          <w:sz w:val="20"/>
        </w:rPr>
        <w:t>文　　号：暂无</w:t>
        <w:br/>
        <w:t>发文机关：国家互联网信息办公室</w:t>
        <w:br/>
        <w:t>发文日期：2026-05-13</w:t>
        <w:br/>
        <w:t>原文链接：https://www.cac.gov.cn/wxzw/wxfb/A093702index_1.htm</w:t>
      </w:r>
    </w:p>
    <w:p>
      <w:pPr>
        <w:ind w:left="240"/>
      </w:pPr>
      <w:r>
        <w:t>发布第二十三批区块链信息服务备案编号，推进区块链规范发展</w:t>
      </w:r>
    </w:p>
    <w:p>
      <w:pPr>
        <w:spacing w:before="0" w:after="80"/>
        <w:pBdr>
          <w:bottom w:val="single" w:sz="4" w:space="1" w:color="DDDDDD"/>
        </w:pBdr>
      </w:pPr>
    </w:p>
    <w:p>
      <w:r>
        <w:rPr>
          <w:b/>
          <w:sz w:val="24"/>
        </w:rPr>
        <w:t>《2026年中国网络文明大会在南宁举行》</w:t>
      </w:r>
    </w:p>
    <w:p>
      <w:r>
        <w:rPr>
          <w:color w:val="646464"/>
          <w:sz w:val="20"/>
        </w:rPr>
        <w:t>文　　号：暂无</w:t>
        <w:br/>
        <w:t>发文机关：中央网信办等</w:t>
        <w:br/>
        <w:t>发文日期：2026-05-20</w:t>
        <w:br/>
        <w:t>原文链接：https://www.zjwx.gov.cn/col/col1673580/</w:t>
      </w:r>
    </w:p>
    <w:p>
      <w:pPr>
        <w:ind w:left="240"/>
      </w:pPr>
      <w:r>
        <w:t>聚焦网络文明建设，推动数字素养提升与内容治理</w:t>
      </w:r>
    </w:p>
    <w:p>
      <w:pPr>
        <w:spacing w:before="0" w:after="80"/>
        <w:pBdr>
          <w:bottom w:val="single" w:sz="4" w:space="1" w:color="DDDDDD"/>
        </w:pBdr>
      </w:pPr>
    </w:p>
    <w:p>
      <w:r>
        <w:rPr>
          <w:b/>
          <w:sz w:val="24"/>
        </w:rPr>
        <w:t>《2026年全民数字素养与技能提升月启动》</w:t>
      </w:r>
    </w:p>
    <w:p>
      <w:r>
        <w:rPr>
          <w:color w:val="646464"/>
          <w:sz w:val="20"/>
        </w:rPr>
        <w:t>文　　号：暂无</w:t>
        <w:br/>
        <w:t>发文机关：中央网信办等</w:t>
        <w:br/>
        <w:t>发文日期：2026-05-20</w:t>
        <w:br/>
        <w:t>原文链接：https://www.zjwx.gov.cn/col/col1673580/</w:t>
      </w:r>
    </w:p>
    <w:p>
      <w:pPr>
        <w:ind w:left="240"/>
      </w:pPr>
      <w:r>
        <w:t>启动全民数字素养提升月，增强公众数字技能与安全意识</w:t>
      </w:r>
    </w:p>
    <w:p>
      <w:pPr>
        <w:spacing w:before="0" w:after="80"/>
        <w:pBdr>
          <w:bottom w:val="single" w:sz="4" w:space="1" w:color="DDDDDD"/>
        </w:pBdr>
      </w:pPr>
    </w:p>
    <w:p>
      <w:r>
        <w:rPr>
          <w:b/>
          <w:sz w:val="24"/>
        </w:rPr>
        <w:t>《中央网信办全面部署推进规范短视频内容标注工作》</w:t>
      </w:r>
    </w:p>
    <w:p>
      <w:r>
        <w:rPr>
          <w:color w:val="646464"/>
          <w:sz w:val="20"/>
        </w:rPr>
        <w:t>文　　号：暂无</w:t>
        <w:br/>
        <w:t>发文机关：中央网信办</w:t>
        <w:br/>
        <w:t>发文日期：2026-05-20</w:t>
        <w:br/>
        <w:t>原文链接：https://www.zjwx.gov.cn/col/col1673580/</w:t>
      </w:r>
    </w:p>
    <w:p>
      <w:pPr>
        <w:ind w:left="240"/>
      </w:pPr>
      <w:r>
        <w:t>规范短视频内容标注，加强算法推荐与内容治理</w:t>
      </w:r>
    </w:p>
    <w:p>
      <w:pPr>
        <w:spacing w:before="0" w:after="80"/>
        <w:pBdr>
          <w:bottom w:val="single" w:sz="4" w:space="1" w:color="DDDDDD"/>
        </w:pBdr>
      </w:pPr>
    </w:p>
    <w:p>
      <w:r>
        <w:rPr>
          <w:b/>
          <w:sz w:val="24"/>
        </w:rPr>
        <w:t>《2026年“数据要素×”大赛通知发布》</w:t>
      </w:r>
    </w:p>
    <w:p>
      <w:r>
        <w:rPr>
          <w:color w:val="646464"/>
          <w:sz w:val="20"/>
        </w:rPr>
        <w:t>文　　号：暂无</w:t>
        <w:br/>
        <w:t>发文机关：国家数据局等有关部门</w:t>
        <w:br/>
        <w:t>发文日期：2026-04-30</w:t>
      </w:r>
    </w:p>
    <w:p>
      <w:pPr>
        <w:ind w:left="240"/>
      </w:pPr>
      <w:r>
        <w:t>启动2026年数据要素大赛，发挥数据乘数效应赋能高质量发展</w:t>
      </w:r>
    </w:p>
    <w:p>
      <w:pPr>
        <w:spacing w:before="0" w:after="80"/>
        <w:pBdr>
          <w:bottom w:val="single" w:sz="4" w:space="1" w:color="DDDDDD"/>
        </w:pBdr>
      </w:pPr>
    </w:p>
    <w:p>
      <w:r>
        <w:rPr>
          <w:b/>
          <w:sz w:val="24"/>
        </w:rPr>
        <w:t>《福州市工业和信息化局关于开展2026年省级工业数字化转型项目申报工作的通知》</w:t>
      </w:r>
    </w:p>
    <w:p>
      <w:r>
        <w:rPr>
          <w:color w:val="646464"/>
          <w:sz w:val="20"/>
        </w:rPr>
        <w:t>文　　号：闽工信函信息〔2026〕43号</w:t>
        <w:br/>
        <w:t>发文机关：福州市工业和信息化局</w:t>
        <w:br/>
        <w:t>发文日期：2026-02-03</w:t>
        <w:br/>
        <w:t>原文链接：https://www.fuzhou.gov.cn/zgfzzt/sjxw/fzjx/tzgg/202602/t20260204_5281427.htm</w:t>
      </w:r>
    </w:p>
    <w:p>
      <w:pPr>
        <w:ind w:left="240"/>
      </w:pPr>
      <w:r>
        <w:t>组织工业互联网平台、数智化标杆等方向项目申报，入选可获奖补</w:t>
      </w:r>
    </w:p>
    <w:p>
      <w:pPr>
        <w:spacing w:before="0" w:after="80"/>
        <w:pBdr>
          <w:bottom w:val="single" w:sz="4" w:space="1" w:color="DDDDDD"/>
        </w:pBdr>
      </w:pPr>
    </w:p>
    <w:p/>
    <w:p>
      <w:pPr>
        <w:pStyle w:val="Heading1"/>
      </w:pPr>
      <w:r>
        <w:rPr>
          <w:color w:val="5B6DE4"/>
          <w:sz w:val="28"/>
        </w:rPr>
        <w:t>三、今年以来主要政策</w:t>
      </w:r>
    </w:p>
    <w:p>
      <w:r>
        <w:rPr>
          <w:b/>
          <w:sz w:val="24"/>
        </w:rPr>
        <w:t>《EU AI Act正式生效（2026年全面适用）》</w:t>
      </w:r>
    </w:p>
    <w:p>
      <w:r>
        <w:rPr>
          <w:color w:val="646464"/>
          <w:sz w:val="20"/>
        </w:rPr>
        <w:t>文　　号：暂无</w:t>
        <w:br/>
        <w:t>发文机关：European Commission</w:t>
        <w:br/>
        <w:t>发文日期：2026-01-01</w:t>
      </w:r>
    </w:p>
    <w:p>
      <w:pPr>
        <w:ind w:left="240"/>
      </w:pPr>
      <w:r>
        <w:t>欧盟AI法案全面生效，对高风险AI系统实施严格监管</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国家数据局2026年5月印发《数字经济发展工作要点》，首次明确提出“建立全国统一数据产权登记制度”和“制定出台建设全国一体化数据市场政策文件”。这标志着数据要素市场化从试点探索进入制度定型阶段。下一步，数据产权登记、公共数据授权运营价格形成机制等细则将密集出台，企业需提前布局数据资产合规与入表准备。</w:t>
      </w:r>
    </w:p>
    <w:p>
      <w:r>
        <w:rPr>
          <w:b/>
          <w:color w:val="5B6DE4"/>
        </w:rPr>
        <w:t xml:space="preserve">②  </w:t>
      </w:r>
      <w:r>
        <w:t>趋势2（技术路线）：工信部6月3日发布《“人工智能+信息通信”创新发展实施意见（2026—2028年）》，首次将AI与信息通信的融合提升至部委专项政策高度。此举意在通过通信网络智能化改造，为AI大模型提供低时延、高带宽的算力底座。预计未来两年，5G-A/6G与AI的协同创新将成为产业投资热点，运营商和设备商将加速推出AI原生网络解决方案。</w:t>
      </w:r>
    </w:p>
    <w:p>
      <w:r>
        <w:rPr>
          <w:b/>
          <w:color w:val="5B6DE4"/>
        </w:rPr>
        <w:t xml:space="preserve">③  </w:t>
      </w:r>
      <w:r>
        <w:t>趋势3（区域格局）：山西、天津、青岛等地密集发布2024—2026年算力与AI产业规划，均强调“算力强基”与“行业大模型”双轮驱动。与东部发达地区不同，中西部省份更注重通过算力枢纽承接东部算力溢出，并围绕本地优势产业（如山西的能源、青岛的海洋）打造垂直大模型。这种差异化竞争策略有助于避免重复建设，但也对跨区域算力调度与数据流通提出更高要求。</w:t>
      </w:r>
    </w:p>
    <w:p>
      <w:r>
        <w:rPr>
          <w:b/>
          <w:color w:val="5B6DE4"/>
        </w:rPr>
        <w:t xml:space="preserve">④  </w:t>
      </w:r>
      <w:r>
        <w:t>趋势4（产业影响）：广东省工信厅6月启动“AI赋能新型工业化标杆项目入库”，明确“先谋事、后排钱”原则，将奖补与项目绩效直接挂钩。这一模式改变了以往普惠式补贴的做法，倒逼企业拿出可量化、可复制的AI应用场景。预计其他省份将跟进，AI在制造业的落地将从“盆景”转向“风景”，但中小企业面临的技术门槛和资金压力仍需配套服务支撑。</w:t>
      </w:r>
    </w:p>
    <w:p>
      <w:r>
        <w:rPr>
          <w:b/>
          <w:color w:val="5B6DE4"/>
        </w:rPr>
        <w:t xml:space="preserve">⑤  </w:t>
      </w:r>
      <w:r>
        <w:t>趋势5（安全合规）：国家网信办5月连续发布生成式AI备案公告和区块链信息服务备案，叠加此前三部门联合印发的《智能体规范应用与创新发展实施意见》，表明中国对AI与区块链的监管已从“原则性指导”进入“常态化备案+分类分级管理”阶段。企业需建立动态合规体系，尤其关注智能体应用中的数据安全、算法透明度和内容标注要求，避免因合规滞后影响业务上线。</w:t>
      </w:r>
    </w:p>
    <w:p>
      <w:r>
        <w:rPr>
          <w:b/>
          <w:color w:val="5B6DE4"/>
        </w:rPr>
        <w:t xml:space="preserve">⑥  </w:t>
      </w:r>
      <w:r>
        <w:t>趋势6（国际比较）：中国2026年通过《智能体规范应用与创新发展实施意见》与欧盟AI Act全面生效形成鲜明对照。中国采取“发展优先、安全并重”的路径，通过备案制与分类管理为创新留出空间；欧盟则采用风险分级与严格事前评估，对高风险AI系统施加近乎禁令式的义务。美国至今未出台联邦级AI综合立法，仍依赖行政令与行业自律。中国模式在平衡创新与安全上更具灵活性，但需警惕备案制可能带来的合规套利风险。</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