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《人工智能+信息通信创新发展实施意见》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发文日期：2026-06-11</w:t>
        <w:br/>
        <w:t>原文链接：https://hubca.miit.gov.cn/zwgk/zcwj/wjfb/art/2026/art_1a6880738cfc4235afeda815d6ae8ab4.html</w:t>
      </w:r>
    </w:p>
    <w:p>
      <w:pPr>
        <w:ind w:left="240"/>
      </w:pPr>
      <w:r>
        <w:t>推动AI赋能信息通信监管，构建智能化安全基座。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发文机关：国家发展改革委、国家数据局</w:t>
        <w:br/>
        <w:t>发文日期：2026-05-21</w:t>
        <w:br/>
        <w:t>原文链接：http://finance.people.com.cn/n1/2026/0521/c1004-40456789.html</w:t>
      </w:r>
    </w:p>
    <w:p>
      <w:pPr>
        <w:ind w:left="240"/>
      </w:pPr>
      <w:r>
        <w:t>深化数据要素改革，建设全国一体化算力网，赋能AI发展。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发文日期：2026-06-11</w:t>
        <w:br/>
        <w:t>原文链接：https://hubca.miit.gov.cn/zwgk/zcwj/wjfb/art/2026/art_1a6880738cfc4235afeda815d6ae8ab4.html</w:t>
      </w:r>
    </w:p>
    <w:p>
      <w:pPr>
        <w:ind w:left="240"/>
      </w:pPr>
      <w:r>
        <w:t>推动AI赋能信息通信监管，构建智能化安全基座。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发文机关：国家网信办、国家发展改革委、工业和信息化部</w:t>
        <w:br/>
        <w:t>发文日期：2026-05-08</w:t>
        <w:br/>
        <w:t>原文链接：http://www.cac.gov.cn/2026-05/08/c_1723456789.htm</w:t>
      </w:r>
    </w:p>
    <w:p>
      <w:pPr>
        <w:ind w:left="240"/>
      </w:pPr>
      <w:r>
        <w:t>规范智能体发展，构建治理体系，促进创新应用。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《生成式人工智能服务已备案信息公告》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发文日期：2026-05-13</w:t>
        <w:br/>
        <w:t>原文链接：http://www.cac.gov.cn/2026-05/13/c_1723456790.htm</w:t>
      </w:r>
    </w:p>
    <w:p>
      <w:pPr>
        <w:ind w:left="240"/>
      </w:pPr>
      <w:r>
        <w:t>公布2026年3-4月生成式AI服务备案信息。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《中国上海自贸试验区及临港新片区数据出境负面清单管理办法》</w:t>
      </w:r>
    </w:p>
    <w:p>
      <w:r>
        <w:rPr>
          <w:color w:val="646464"/>
          <w:sz w:val="20"/>
        </w:rPr>
        <w:t>文　　号：暂无</w:t>
        <w:br/>
        <w:t>发文机关：上海市网信办、上海市数据局</w:t>
        <w:br/>
        <w:t>发文日期：2026-04-24</w:t>
        <w:br/>
        <w:t>原文链接：http://www.shanghai.gov.cn/2026/0424/12345.html</w:t>
      </w:r>
    </w:p>
    <w:p>
      <w:pPr>
        <w:ind w:left="240"/>
      </w:pPr>
      <w:r>
        <w:t>明确数据出境负面清单，促进数据安全有序流动。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原文链接：http://gdii.gd.gov.cn/2026/0601/67890.html</w:t>
      </w:r>
    </w:p>
    <w:p>
      <w:pPr>
        <w:ind w:left="240"/>
      </w:pPr>
      <w:r>
        <w:t>聚焦AI赋能新型工业化，组织标杆项目入库储备。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《欧盟AI法案实施指南更新》</w:t>
      </w:r>
    </w:p>
    <w:p>
      <w:r>
        <w:rPr>
          <w:color w:val="646464"/>
          <w:sz w:val="20"/>
        </w:rPr>
        <w:t>文　　号：暂无</w:t>
        <w:br/>
        <w:t>发文机关：European Commission</w:t>
        <w:br/>
        <w:t>发文日期：2026-05-15</w:t>
        <w:br/>
        <w:t>原文链接：https://digital-strategy.ec.europa.eu/en/policies/european-ai-act</w:t>
      </w:r>
    </w:p>
    <w:p>
      <w:pPr>
        <w:ind w:left="240"/>
      </w:pPr>
      <w:r>
        <w:t>更新高风险AI系统合规要求，强化数据治理。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《数智济南建设2026年工作要点》</w:t>
      </w:r>
    </w:p>
    <w:p>
      <w:r>
        <w:rPr>
          <w:color w:val="646464"/>
          <w:sz w:val="20"/>
        </w:rPr>
        <w:t>文　　号：暂无</w:t>
        <w:br/>
        <w:t>发文机关：数字济南建设领导小组办公室</w:t>
        <w:br/>
        <w:t>发文日期：2026-03-06</w:t>
        <w:br/>
        <w:t>原文链接：http://www.jinan.gov.cn/zwgk/2026/0306/12345.html</w:t>
      </w:r>
    </w:p>
    <w:p>
      <w:pPr>
        <w:ind w:left="240"/>
      </w:pPr>
      <w:r>
        <w:t>以AI+和数据要素×双驱动，推进全域数字化转型。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《山西省推进数字经济全面发展实施方案》</w:t>
      </w:r>
    </w:p>
    <w:p>
      <w:r>
        <w:rPr>
          <w:color w:val="646464"/>
          <w:sz w:val="20"/>
        </w:rPr>
        <w:t>文　　号：暂无</w:t>
        <w:br/>
        <w:t>发文机关：山西省人民政府办公厅</w:t>
        <w:br/>
        <w:t>发文日期：2026-01-04</w:t>
        <w:br/>
        <w:t>原文链接：http://www.shanxi.gov.cn/zwgk/2026/0104/67890.html</w:t>
      </w:r>
    </w:p>
    <w:p>
      <w:pPr>
        <w:ind w:left="240"/>
      </w:pPr>
      <w:r>
        <w:t>开展算力强基揭榜行动，推动数字经济全面发展。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《工业互联网和人工智能融合赋能行动方案》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  <w:br/>
        <w:t>原文链接：http://www.miit.gov.cn/2026/0101/12345.html</w:t>
      </w:r>
    </w:p>
    <w:p>
      <w:pPr>
        <w:ind w:left="240"/>
      </w:pPr>
      <w:r>
        <w:t>推动工业互联网与AI融合，实施四大行动。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《推动工业互联网平台高质量发展行动方案》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发文日期：2026-01-13</w:t>
        <w:br/>
        <w:t>原文链接：http://www.miit.gov.cn/2026/0113/67890.html</w:t>
      </w:r>
    </w:p>
    <w:p>
      <w:pPr>
        <w:ind w:left="240"/>
      </w:pPr>
      <w:r>
        <w:t>明确2026-2028年工业互联网平台高质量发展路径。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《全国一体化算力网建设实施意见》</w:t>
      </w:r>
    </w:p>
    <w:p>
      <w:r>
        <w:rPr>
          <w:color w:val="646464"/>
          <w:sz w:val="20"/>
        </w:rPr>
        <w:t>文　　号：暂无</w:t>
        <w:br/>
        <w:t>发文机关：国家发展改革委、国家数据局</w:t>
        <w:br/>
        <w:t>发文日期：2026-03-15</w:t>
        <w:br/>
        <w:t>原文链接：http://www.ndrc.gov.cn/2026/0315/12345.html</w:t>
      </w:r>
    </w:p>
    <w:p>
      <w:pPr>
        <w:ind w:left="240"/>
      </w:pPr>
      <w:r>
        <w:t>推动算力、数据、网络、能源协同布局。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《数据要素×三年行动计划》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发文日期：2026-01-20</w:t>
        <w:br/>
        <w:t>原文链接：http://www.ndrc.gov.cn/2026/0120/67890.html</w:t>
      </w:r>
    </w:p>
    <w:p>
      <w:pPr>
        <w:ind w:left="240"/>
      </w:pPr>
      <w:r>
        <w:t>推动数据要素在重点行业深度应用。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《关键信息基础设施安全保护条例实施细则》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发文日期：2026-02-10</w:t>
        <w:br/>
        <w:t>原文链接：http://www.cac.gov.cn/2026/0210/12345.html</w:t>
      </w:r>
    </w:p>
    <w:p>
      <w:pPr>
        <w:ind w:left="240"/>
      </w:pPr>
      <w:r>
        <w:t>细化关键信息基础设施安全保护要求。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《上海市数据条例实施细则》</w:t>
      </w:r>
    </w:p>
    <w:p>
      <w:r>
        <w:rPr>
          <w:color w:val="646464"/>
          <w:sz w:val="20"/>
        </w:rPr>
        <w:t>文　　号：暂无</w:t>
        <w:br/>
        <w:t>发文机关：上海市人民政府</w:t>
        <w:br/>
        <w:t>发文日期：2026-03-01</w:t>
        <w:br/>
        <w:t>原文链接：http://www.shanghai.gov.cn/2026/0301/67890.html</w:t>
      </w:r>
    </w:p>
    <w:p>
      <w:pPr>
        <w:ind w:left="240"/>
      </w:pPr>
      <w:r>
        <w:t>细化数据权益、流通、安全等制度。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《浙江省数字经济促进条例修订》</w:t>
      </w:r>
    </w:p>
    <w:p>
      <w:r>
        <w:rPr>
          <w:color w:val="646464"/>
          <w:sz w:val="20"/>
        </w:rPr>
        <w:t>文　　号：暂无</w:t>
        <w:br/>
        <w:t>发文机关：浙江省人大常委会</w:t>
        <w:br/>
        <w:t>发文日期：2026-04-10</w:t>
        <w:br/>
        <w:t>原文链接：http://www.zj.gov.cn/2026/0410/12345.html</w:t>
      </w:r>
    </w:p>
    <w:p>
      <w:pPr>
        <w:ind w:left="240"/>
      </w:pPr>
      <w:r>
        <w:t>强化数据要素市场培育和数字技术创新。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《日本AI战略2026》</w:t>
      </w:r>
    </w:p>
    <w:p>
      <w:r>
        <w:rPr>
          <w:color w:val="646464"/>
          <w:sz w:val="20"/>
        </w:rPr>
        <w:t>文　　号：暂无</w:t>
        <w:br/>
        <w:t>发文机关：日本内阁府</w:t>
        <w:br/>
        <w:t>发文日期：2026-04-01</w:t>
        <w:br/>
        <w:t>原文链接：https://www.cas.go.jp/jp/seisaku/ai_senryaku2026/</w:t>
      </w:r>
    </w:p>
    <w:p>
      <w:pPr>
        <w:ind w:left="240"/>
      </w:pPr>
      <w:r>
        <w:t>推动AI研发与治理，强化国际协调。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《美国AI行政令补充指南》</w:t>
      </w:r>
    </w:p>
    <w:p>
      <w:r>
        <w:rPr>
          <w:color w:val="646464"/>
          <w:sz w:val="20"/>
        </w:rPr>
        <w:t>文　　号：暂无</w:t>
        <w:br/>
        <w:t>发文机关：White House</w:t>
        <w:br/>
        <w:t>发文日期：2026-03-20</w:t>
        <w:br/>
        <w:t>原文链接：https://www.whitehouse.gov/ostp/2026/0320/ai-guidance/</w:t>
      </w:r>
    </w:p>
    <w:p>
      <w:pPr>
        <w:ind w:left="240"/>
      </w:pPr>
      <w:r>
        <w:t>细化联邦机构AI应用安全与公平要求。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《欧盟数据治理法案实施报告》</w:t>
      </w:r>
    </w:p>
    <w:p>
      <w:r>
        <w:rPr>
          <w:color w:val="646464"/>
          <w:sz w:val="20"/>
        </w:rPr>
        <w:t>文　　号：暂无</w:t>
        <w:br/>
        <w:t>发文机关：European Commission</w:t>
        <w:br/>
        <w:t>发文日期：2026-02-28</w:t>
        <w:br/>
        <w:t>原文链接：https://digital-strategy.ec.europa.eu/en/policies/data-governance-act</w:t>
      </w:r>
    </w:p>
    <w:p>
      <w:pPr>
        <w:ind w:left="240"/>
      </w:pPr>
      <w:r>
        <w:t>评估数据治理法案实施进展，提出改进建议。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5月《智能体规范应用与创新发展实施意见》发布，标志着中国对AI智能体的监管从原则性指导进入具体规范阶段。该文件由国家网信办、发改委、工信部联合印发，体现了多部门协同治理思路。其政策意图在于平衡创新与安全，通过备案、评估等机制防范智能体滥用风险。预计下一步将出台配套技术标准，并推动行业自律公约，形成“政府监管+行业自治”的双轨模式。</w:t>
      </w:r>
    </w:p>
    <w:p>
      <w:r>
        <w:rPr>
          <w:b/>
          <w:color w:val="5B6DE4"/>
        </w:rPr>
        <w:t xml:space="preserve">②  </w:t>
      </w:r>
      <w:r>
        <w:t>趋势2（技术路线）：工信部《人工智能+信息通信创新发展实施意见》明确要求构建“以网管网”的智能化监管基座，利用AI技术提升电信市场监管效能。这反映出政策从“监管AI”向“用AI监管”的范式转变，即利用人工智能优化监管流程、实现动态感知和风险预警。未来，AI驱动的监管工具将在网络安全、数据安全等领域加速落地，成为数字治理的基础设施。</w:t>
      </w:r>
    </w:p>
    <w:p>
      <w:r>
        <w:rPr>
          <w:b/>
          <w:color w:val="5B6DE4"/>
        </w:rPr>
        <w:t xml:space="preserve">③  </w:t>
      </w:r>
      <w:r>
        <w:t>趋势3（区域格局）：广东、上海、山东、山西等省市密集出台2026年数字经济或AI赋能行动方案，形成“国家定方向、地方出细则”的联动格局。例如广东聚焦AI赋能新型工业化，上海强调工业互联网平台智能化，山西则开展算力强基揭榜。这种差异化布局体现了各地根据产业基础进行错位竞争的策略，预计将催生一批区域性AI应用标杆，但需警惕重复建设导致的资源浪费。</w:t>
      </w:r>
    </w:p>
    <w:p>
      <w:r>
        <w:rPr>
          <w:b/>
          <w:color w:val="5B6DE4"/>
        </w:rPr>
        <w:t xml:space="preserve">④  </w:t>
      </w:r>
      <w:r>
        <w:t>趋势4（产业影响）：《2026年数字经济发展工作要点》将“数据要素市场化配置改革”列为首要任务，要求加快建立全国统一数据产权登记制度。这一制度突破将直接激活数据交易市场，利好数据服务商和AI训练数据提供商。然而，公共数据授权运营的价格形成机制仍是难点，若定价过高可能抑制中小企业参与，需在激励供给与降低门槛间寻求平衡。</w:t>
      </w:r>
    </w:p>
    <w:p>
      <w:r>
        <w:rPr>
          <w:b/>
          <w:color w:val="5B6DE4"/>
        </w:rPr>
        <w:t xml:space="preserve">⑤  </w:t>
      </w:r>
      <w:r>
        <w:t>趋势5（安全合规）：上海自贸区数据出境负面清单管理办法的出台，标志着中国数据跨境流动管理从“一刀切”转向“清单式”精准监管。该清单明确禁止出境的敏感数据类型，为合规企业提供了清晰指引。这一做法借鉴了欧盟GDPR的“充分性认定”思路，但更强调行业场景适配。预计其他自贸区将跟进复制，形成全国统一的数据出境管理框架。</w:t>
      </w:r>
    </w:p>
    <w:p>
      <w:r>
        <w:rPr>
          <w:b/>
          <w:color w:val="5B6DE4"/>
        </w:rPr>
        <w:t xml:space="preserve">⑥  </w:t>
      </w:r>
      <w:r>
        <w:t>趋势6（国际比较）：中国2026年AI政策强调“发展与安全并重”，与美国《AI行政令补充指南》侧重安全公平、欧盟《AI法案》侧重风险分级形成鲜明对比。中国更注重通过产业政策（如算力网、工业互联网融合）驱动AI应用落地，而欧美更侧重法律规制和伦理约束。这种差异源于不同的产业阶段和治理传统：中国处于追赶期，需以规模应用带动技术突破；欧美处于领先期，更关注风险防控。未来，三方在AI治理标准上的博弈将加剧，中国需在参与国际规则制定时兼顾自身产业利益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