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发文日期：2026-06-23</w:t>
        <w:br/>
        <w:t>原文链接：https://www.miit.gov.cn/zwgk/zcwj/</w:t>
      </w:r>
    </w:p>
    <w:p>
      <w:pPr>
        <w:ind w:left="240"/>
      </w:pPr>
      <w:r>
        <w:t>推动平台经济领域大中小企业融通发展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《国家数据局刘烈宏赴温州、深圳、东莞调研数据要素市场化配置改革工作》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发文日期：2026-06-22</w:t>
        <w:br/>
        <w:t>原文链接：https://www.ndrc.gov.cn/fzggw/wld/llh/zyhd/index.html</w:t>
      </w:r>
    </w:p>
    <w:p>
      <w:pPr>
        <w:ind w:left="240"/>
      </w:pPr>
      <w:r>
        <w:t>调研数据要素市场化配置改革进展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规范互联网信息内容多渠道分发服务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部署年度全民数字素养与技能提升工作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《人工智能应用伦理指南》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发布人工智能应用伦理规范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《上海市制造业智能化发展项目申报通知》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发文日期：2026-06-12</w:t>
        <w:br/>
        <w:t>原文链接：https://www.sheitc.sh.gov.cn/cyfz/20260112/11e3168ff89a4eeea2b1afd193c19418.html</w:t>
      </w:r>
    </w:p>
    <w:p>
      <w:pPr>
        <w:ind w:left="240"/>
      </w:pPr>
      <w:r>
        <w:t>支持工业互联网平台智能化转型升级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《福州市2026年工业互联网专项资金申报通知》</w:t>
      </w:r>
    </w:p>
    <w:p>
      <w:r>
        <w:rPr>
          <w:color w:val="646464"/>
          <w:sz w:val="20"/>
        </w:rPr>
        <w:t>文　　号：暂无</w:t>
        <w:br/>
        <w:t>发文机关：福州市工业和信息化局</w:t>
        <w:br/>
        <w:t>发文日期：2026-06-26</w:t>
        <w:br/>
        <w:t>原文链接：https://www.fuzhou.gov.cn/zwgk/zxwj/bmwj_1/202603/t20260326_5301055.htm</w:t>
      </w:r>
    </w:p>
    <w:p>
      <w:pPr>
        <w:ind w:left="240"/>
      </w:pPr>
      <w:r>
        <w:t>组织开展工业互联网专项资金申报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号：暂无</w:t>
        <w:br/>
        <w:t>发文机关：工信部等八部门</w:t>
        <w:br/>
        <w:t>发文日期：2026-02-04</w:t>
      </w:r>
    </w:p>
    <w:p>
      <w:pPr>
        <w:ind w:left="240"/>
      </w:pPr>
      <w:r>
        <w:t>建立高效便利安全的汽车数据跨境流动机制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《推动工业互联网平台高质量发展行动方案（2026—2028年）》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发文日期：2026-01-19</w:t>
        <w:br/>
        <w:t>原文链接：https://www.miiteec.org.cn/news_list?type=3</w:t>
      </w:r>
    </w:p>
    <w:p>
      <w:pPr>
        <w:ind w:left="240"/>
      </w:pPr>
      <w:r>
        <w:t>部署工业互联网平台高质量发展任务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《人工智能+制造专项行动实施意见》</w:t>
      </w:r>
    </w:p>
    <w:p>
      <w:r>
        <w:rPr>
          <w:color w:val="646464"/>
          <w:sz w:val="20"/>
        </w:rPr>
        <w:t>文　　号：暂无</w:t>
        <w:br/>
        <w:t>发文机关：八部门</w:t>
        <w:br/>
        <w:t>发文日期：2026-01-13</w:t>
        <w:br/>
        <w:t>原文链接：https://www.miiteec.org.cn/news_list?type=3</w:t>
      </w:r>
    </w:p>
    <w:p>
      <w:pPr>
        <w:ind w:left="240"/>
      </w:pPr>
      <w:r>
        <w:t>推动人工智能与制造业深度融合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《关于加快招标投标领域人工智能推广应用的实施意见》</w:t>
      </w:r>
    </w:p>
    <w:p>
      <w:r>
        <w:rPr>
          <w:color w:val="646464"/>
          <w:sz w:val="20"/>
        </w:rPr>
        <w:t>文　　号：发改法规〔2026〕</w:t>
        <w:br/>
        <w:t>发文机关：国家发展改革委</w:t>
        <w:br/>
        <w:t>发文日期：2026-03-11</w:t>
      </w:r>
    </w:p>
    <w:p>
      <w:pPr>
        <w:ind w:left="240"/>
      </w:pPr>
      <w:r>
        <w:t>推动AI在招标投标领域应用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6月国家网信办等五部门发布《互联网信息内容多渠道分发服务管理规定》，标志着内容分发领域进入专项监管阶段。政策逻辑在于应对算法推荐、MCN机构等带来的信息茧房与虚假信息风险。预计后续将出台配套实施细则，强化平台算法备案与内容审核责任，对短视频、直播等业态产生深远影响。</w:t>
      </w:r>
    </w:p>
    <w:p>
      <w:r>
        <w:rPr>
          <w:b/>
          <w:color w:val="5B6DE4"/>
        </w:rPr>
        <w:t xml:space="preserve">②  </w:t>
      </w:r>
      <w:r>
        <w:t>趋势2（技术路线）：工信部等八部门联合印发《人工智能+制造专项行动实施意见》，明确以智能制造为主攻方向。政策意图在于通过AI赋能传统制造业，解决劳动力成本上升与生产效率瓶颈。研判未来两年将出现一批“AI+制造”标杆工厂，但中小企业面临技术门槛与资金压力，需配套普惠性算力与模型服务。</w:t>
      </w:r>
    </w:p>
    <w:p>
      <w:r>
        <w:rPr>
          <w:b/>
          <w:color w:val="5B6DE4"/>
        </w:rPr>
        <w:t xml:space="preserve">③  </w:t>
      </w:r>
      <w:r>
        <w:t>趋势3（区域格局）：天津、青岛、威海等地密集发布2024-2026年算力与人工智能发展规划，呈现“东部沿海领跑、中西部跟进”的态势。政策逻辑在于各地抢抓东数西算战略窗口，通过地方财政补贴与产业园区建设吸引算力基础设施落地。预计2026年下半年将出现区域算力过剩与同质化竞争，需国家层面加强统筹协调。</w:t>
      </w:r>
    </w:p>
    <w:p>
      <w:r>
        <w:rPr>
          <w:b/>
          <w:color w:val="5B6DE4"/>
        </w:rPr>
        <w:t xml:space="preserve">④  </w:t>
      </w:r>
      <w:r>
        <w:t>趋势4（产业影响）：《汽车数据出境安全指引（2026版）》由八部门联合发布，聚焦智能网联汽车数据跨境流动。政策意图在于平衡产业发展与国家安全，为特斯拉等外资车企提供合规路径。研判将推动汽车数据分级分类管理标准出台，并催生一批第三方数据跨境评估服务机构，但中小企业合规成本可能上升。</w:t>
      </w:r>
    </w:p>
    <w:p>
      <w:r>
        <w:rPr>
          <w:b/>
          <w:color w:val="5B6DE4"/>
        </w:rPr>
        <w:t xml:space="preserve">⑤  </w:t>
      </w:r>
      <w:r>
        <w:t>趋势5（安全合规）：《工业领域数据安全能力提升实施方案（2024-2026年）》进入收官阶段，工信部近期加强督查评估。政策逻辑在于工业数据泄露事件频发，且工业互联网平台连接大量关键基础设施。预计2026年下半年将公布一批违规案例，并推动数据安全保险等市场化机制落地，倒逼企业加大安全投入。</w:t>
      </w:r>
    </w:p>
    <w:p>
      <w:r>
        <w:rPr>
          <w:b/>
          <w:color w:val="5B6DE4"/>
        </w:rPr>
        <w:t xml:space="preserve">⑥  </w:t>
      </w:r>
      <w:r>
        <w:t>趋势6（国际比较）：中国2026年密集出台AI+制造、数据跨境、平台经济等政策，与美国2025年《AI行政令》及欧盟《AI法案》形成对照。美国侧重研发激励与出口管制，欧盟强调风险分级与基本权利保护，中国则更注重产业应用与安全监管的平衡。启示在于中国需加快AI伦理立法，避免因监管碎片化影响国际互认与跨境数据流动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