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生成日期：2026-08-09　　数据 · 算力 · 信息化</w:t>
      </w:r>
    </w:p>
    <w:p/>
    <w:p>
      <w:pPr>
        <w:pStyle w:val="Heading1"/>
      </w:pPr>
      <w:r>
        <w:rPr>
          <w:color w:val="5B6DE4"/>
          <w:sz w:val="28"/>
        </w:rPr>
        <w:t>一、过去 24 小时关键政策</w:t>
      </w:r>
    </w:p>
    <w:p>
      <w:r>
        <w:rPr>
          <w:b/>
          <w:sz w:val="24"/>
        </w:rPr>
        <w:t>《2026中国国际大数据产业博览会新闻发布会》</w:t>
      </w:r>
    </w:p>
    <w:p>
      <w:r>
        <w:rPr>
          <w:color w:val="646464"/>
          <w:sz w:val="20"/>
        </w:rPr>
        <w:t>文　　号：暂无</w:t>
        <w:br/>
        <w:t>发文机关：国家数据局</w:t>
        <w:br/>
        <w:t>发文日期：2026-07-31</w:t>
        <w:br/>
        <w:t>原文链接：https://m.spzwxxj.henan.gov.cn/2026/07-31/3381078.html</w:t>
      </w:r>
    </w:p>
    <w:p>
      <w:pPr>
        <w:ind w:left="240"/>
      </w:pPr>
      <w:r>
        <w:t>发布会披露：140万PFLOPS智能算力接入全国一体化算力网，登记数据资源近30万项。</w:t>
      </w:r>
    </w:p>
    <w:p>
      <w:pPr>
        <w:spacing w:before="0" w:after="80"/>
        <w:pBdr>
          <w:bottom w:val="single" w:sz="4" w:space="1" w:color="DDDDDD"/>
        </w:pBdr>
      </w:pPr>
    </w:p>
    <w:p/>
    <w:p>
      <w:pPr>
        <w:pStyle w:val="Heading1"/>
      </w:pPr>
      <w:r>
        <w:rPr>
          <w:color w:val="5B6DE4"/>
          <w:sz w:val="28"/>
        </w:rPr>
        <w:t>二、过去一个月主要政策动向</w:t>
      </w:r>
    </w:p>
    <w:p>
      <w:r>
        <w:rPr>
          <w:b/>
          <w:sz w:val="24"/>
        </w:rPr>
        <w:t>《8月新规来了：涉及就业、环保、数据安全等》</w:t>
      </w:r>
    </w:p>
    <w:p>
      <w:r>
        <w:rPr>
          <w:color w:val="646464"/>
          <w:sz w:val="20"/>
        </w:rPr>
        <w:t>文　　号：暂无</w:t>
        <w:br/>
        <w:t>发文机关：多部门</w:t>
        <w:br/>
        <w:t>发文日期：2026-07-30</w:t>
        <w:br/>
        <w:t>原文链接：http://guoqing.china.com.cn/2026-07/30/content_118625011.shtml</w:t>
      </w:r>
    </w:p>
    <w:p>
      <w:pPr>
        <w:ind w:left="240"/>
      </w:pPr>
      <w:r>
        <w:t>8月起一批新规施行，涵盖就业、环保、数据安全等领域，数据安全治理持续加码。</w:t>
      </w:r>
    </w:p>
    <w:p>
      <w:pPr>
        <w:spacing w:before="0" w:after="80"/>
        <w:pBdr>
          <w:bottom w:val="single" w:sz="4" w:space="1" w:color="DDDDDD"/>
        </w:pBdr>
      </w:pPr>
    </w:p>
    <w:p>
      <w:r>
        <w:rPr>
          <w:b/>
          <w:sz w:val="24"/>
        </w:rPr>
        <w:t>《人工智能+信息通信创新发展实施意见（2026—2028年）》</w:t>
      </w:r>
    </w:p>
    <w:p>
      <w:r>
        <w:rPr>
          <w:color w:val="646464"/>
          <w:sz w:val="20"/>
        </w:rPr>
        <w:t>文　　号：暂无</w:t>
        <w:br/>
        <w:t>发文机关：工业和信息化部</w:t>
        <w:br/>
        <w:t>发文日期：2026-06-12</w:t>
        <w:br/>
        <w:t>原文链接：https://www.hbqj.gov.cn/sjjhxxhj/zfxxgk/zc/bbmwj/202606/t20260612_5957098.html</w:t>
      </w:r>
    </w:p>
    <w:p>
      <w:pPr>
        <w:ind w:left="240"/>
      </w:pPr>
      <w:r>
        <w:t>构建“枢纽—区域—边缘”三级算力设施体系，加快算力大通道建设，促进算力模型应用协同。</w:t>
      </w:r>
    </w:p>
    <w:p>
      <w:pPr>
        <w:spacing w:before="0" w:after="80"/>
        <w:pBdr>
          <w:bottom w:val="single" w:sz="4" w:space="1" w:color="DDDDDD"/>
        </w:pBdr>
      </w:pPr>
    </w:p>
    <w:p>
      <w:r>
        <w:rPr>
          <w:b/>
          <w:sz w:val="24"/>
        </w:rPr>
        <w:t>《网络数据安全风险评估办法》</w:t>
      </w:r>
    </w:p>
    <w:p>
      <w:r>
        <w:rPr>
          <w:color w:val="646464"/>
          <w:sz w:val="20"/>
        </w:rPr>
        <w:t>文　　号：暂无</w:t>
        <w:br/>
        <w:t>发文机关：国家网信办、工业和信息化部、公安部</w:t>
        <w:br/>
        <w:t>发文日期：2026-06-22</w:t>
        <w:br/>
        <w:t>原文链接：http://www.wenming.cn/cy/20260622/2cb87e73b17048c6bc4043d46027f1b8/c.html</w:t>
      </w:r>
    </w:p>
    <w:p>
      <w:pPr>
        <w:ind w:left="240"/>
      </w:pPr>
      <w:r>
        <w:t>三部门联合公布，规范网络数据安全风险评估活动，自2026年8月20日起施行。</w:t>
      </w:r>
    </w:p>
    <w:p>
      <w:pPr>
        <w:spacing w:before="0" w:after="80"/>
        <w:pBdr>
          <w:bottom w:val="single" w:sz="4" w:space="1" w:color="DDDDDD"/>
        </w:pBdr>
      </w:pPr>
    </w:p>
    <w:p>
      <w:r>
        <w:rPr>
          <w:b/>
          <w:sz w:val="24"/>
        </w:rPr>
        <w:t>《关于推动互联网基础资源高质量发展的指导意见》</w:t>
      </w:r>
    </w:p>
    <w:p>
      <w:r>
        <w:rPr>
          <w:color w:val="646464"/>
          <w:sz w:val="20"/>
        </w:rPr>
        <w:t>文　　号：暂无</w:t>
        <w:br/>
        <w:t>发文机关：工业和信息化部、中央网信办、国家发展改革委、国家数据局</w:t>
        <w:br/>
        <w:t>发文日期：2026-07-01</w:t>
        <w:br/>
        <w:t>原文链接：https://gyxxh.tj.gov.cn/ZWGK4147/ZCWJ6355/gjjwj/202607/t20260713_7334666.html</w:t>
      </w:r>
    </w:p>
    <w:p>
      <w:pPr>
        <w:ind w:left="240"/>
      </w:pPr>
      <w:r>
        <w:t>四部门联合印发，推动互联网基础资源高质量发展，强化顶层设计和系统布局。</w:t>
      </w:r>
    </w:p>
    <w:p>
      <w:pPr>
        <w:spacing w:before="0" w:after="80"/>
        <w:pBdr>
          <w:bottom w:val="single" w:sz="4" w:space="1" w:color="DDDDDD"/>
        </w:pBdr>
      </w:pPr>
    </w:p>
    <w:p>
      <w:r>
        <w:rPr>
          <w:b/>
          <w:sz w:val="24"/>
        </w:rPr>
        <w:t>《2026年度嘉定区促进城市数字化转型和数字经济发展专项申报》</w:t>
      </w:r>
    </w:p>
    <w:p>
      <w:r>
        <w:rPr>
          <w:color w:val="646464"/>
          <w:sz w:val="20"/>
        </w:rPr>
        <w:t>文　　号：暂无</w:t>
        <w:br/>
        <w:t>发文机关：上海市嘉定区</w:t>
        <w:br/>
        <w:t>发文日期：2026-07-07</w:t>
      </w:r>
    </w:p>
    <w:p>
      <w:pPr>
        <w:ind w:left="240"/>
      </w:pPr>
      <w:r>
        <w:t>上海市嘉定区启动2026年度城市数字化转型和数字经济发展项目专项申报，支持数字技术应用。</w:t>
      </w:r>
    </w:p>
    <w:p>
      <w:pPr>
        <w:spacing w:before="0" w:after="80"/>
        <w:pBdr>
          <w:bottom w:val="single" w:sz="4" w:space="1" w:color="DDDDDD"/>
        </w:pBdr>
      </w:pPr>
    </w:p>
    <w:p/>
    <w:p>
      <w:pPr>
        <w:pStyle w:val="Heading1"/>
      </w:pPr>
      <w:r>
        <w:rPr>
          <w:color w:val="5B6DE4"/>
          <w:sz w:val="28"/>
        </w:rPr>
        <w:t>三、今年以来主要政策</w:t>
      </w:r>
    </w:p>
    <w:p>
      <w:r>
        <w:rPr>
          <w:b/>
          <w:sz w:val="24"/>
        </w:rPr>
        <w:t>《互联网用户账号信息管理规定》</w:t>
      </w:r>
    </w:p>
    <w:p>
      <w:r>
        <w:rPr>
          <w:color w:val="646464"/>
          <w:sz w:val="20"/>
        </w:rPr>
        <w:t>文　　号：暂无</w:t>
        <w:br/>
        <w:t>发文机关：国家网信办</w:t>
        <w:br/>
        <w:t>发文日期：2026-08-01</w:t>
      </w:r>
    </w:p>
    <w:p>
      <w:pPr>
        <w:ind w:left="240"/>
      </w:pPr>
      <w:r>
        <w:t>规范互联网用户账号信息管理，自2026年8月1日起施行，强化网络身份管理。</w:t>
      </w:r>
    </w:p>
    <w:p>
      <w:pPr>
        <w:spacing w:before="0" w:after="80"/>
        <w:pBdr>
          <w:bottom w:val="single" w:sz="4" w:space="1" w:color="DDDDDD"/>
        </w:pBdr>
      </w:pPr>
    </w:p>
    <w:p>
      <w:r>
        <w:rPr>
          <w:b/>
          <w:sz w:val="24"/>
        </w:rPr>
        <w:t>《2026年“人工智能+电竞创新应用大赛”》</w:t>
      </w:r>
    </w:p>
    <w:p>
      <w:r>
        <w:rPr>
          <w:color w:val="646464"/>
          <w:sz w:val="20"/>
        </w:rPr>
        <w:t>文　　号：暂无</w:t>
        <w:br/>
        <w:t>发文机关：广西壮族自治区大数据发展局</w:t>
        <w:br/>
        <w:t>发文日期：2026-07-15</w:t>
      </w:r>
    </w:p>
    <w:p>
      <w:pPr>
        <w:ind w:left="240"/>
      </w:pPr>
      <w:r>
        <w:t>广西启动“人工智能+电竞”创新大赛，面向全国及东盟，推动数字文创与电竞产业生态发展。</w:t>
      </w:r>
    </w:p>
    <w:p>
      <w:pPr>
        <w:spacing w:before="0" w:after="80"/>
        <w:pBdr>
          <w:bottom w:val="single" w:sz="4" w:space="1" w:color="DDDDDD"/>
        </w:pBdr>
      </w:pPr>
    </w:p>
    <w:p>
      <w:r>
        <w:rPr>
          <w:b/>
          <w:sz w:val="24"/>
        </w:rPr>
        <w:t>《2026年中小企业数字化转型城市试点》</w:t>
      </w:r>
    </w:p>
    <w:p>
      <w:r>
        <w:rPr>
          <w:color w:val="646464"/>
          <w:sz w:val="20"/>
        </w:rPr>
        <w:t>文　　号：暂无</w:t>
        <w:br/>
        <w:t>发文机关：广州市工业和信息化局</w:t>
        <w:br/>
        <w:t>发文日期：2026-04-03</w:t>
        <w:br/>
        <w:t>原文链接：https://gxj.gz.gov.cn/zt/zdzt/axqyszhzxzq/content/post_10755502.html</w:t>
      </w:r>
    </w:p>
    <w:p>
      <w:pPr>
        <w:ind w:left="240"/>
      </w:pPr>
      <w:r>
        <w:t>广州延期省级城市试点政策至2026年底，支持中小企业数字化改造和产业链平台建设。</w:t>
      </w:r>
    </w:p>
    <w:p>
      <w:pPr>
        <w:spacing w:before="0" w:after="80"/>
        <w:pBdr>
          <w:bottom w:val="single" w:sz="4" w:space="1" w:color="DDDDDD"/>
        </w:pBdr>
      </w:pPr>
    </w:p>
    <w:p>
      <w:r>
        <w:rPr>
          <w:b/>
          <w:sz w:val="24"/>
        </w:rPr>
        <w:t>《2026年省级工业数字化转型项目申报》</w:t>
      </w:r>
    </w:p>
    <w:p>
      <w:r>
        <w:rPr>
          <w:color w:val="646464"/>
          <w:sz w:val="20"/>
        </w:rPr>
        <w:t>文　　号：闽工信函信息〔2026〕43号</w:t>
        <w:br/>
        <w:t>发文机关：福建省工业和信息化厅</w:t>
        <w:br/>
        <w:t>发文日期：2026-01-28</w:t>
        <w:br/>
        <w:t>原文链接：https://gxt.fujian.gov.cn/zwgk/zfxxgk/fdzdgknr/gzdt/202601/t20260128_7086399.htm?assistant=true</w:t>
      </w:r>
    </w:p>
    <w:p>
      <w:pPr>
        <w:ind w:left="240"/>
      </w:pPr>
      <w:r>
        <w:t>福建组织开展省级工业数字化转型项目申报，推动制造业数字化、网络化、智能化改造。</w:t>
      </w:r>
    </w:p>
    <w:p>
      <w:pPr>
        <w:spacing w:before="0" w:after="80"/>
        <w:pBdr>
          <w:bottom w:val="single" w:sz="4" w:space="1" w:color="DDDDDD"/>
        </w:pBdr>
      </w:pPr>
    </w:p>
    <w:p>
      <w:r>
        <w:rPr>
          <w:b/>
          <w:sz w:val="24"/>
        </w:rPr>
        <w:t>《2026年工业互联网重点项目补助》</w:t>
      </w:r>
    </w:p>
    <w:p>
      <w:r>
        <w:rPr>
          <w:color w:val="646464"/>
          <w:sz w:val="20"/>
        </w:rPr>
        <w:t>文　　号：暂无</w:t>
        <w:br/>
        <w:t>发文机关：福州市工业和信息化局、福州市财政局</w:t>
        <w:br/>
        <w:t>发文日期：2026-03-26</w:t>
        <w:br/>
        <w:t>原文链接：https://www.fuzhou.gov.cn/zwgk/zxwj/bmwj_1/202603/t20260326_5301055.htm</w:t>
      </w:r>
    </w:p>
    <w:p>
      <w:pPr>
        <w:ind w:left="240"/>
      </w:pPr>
      <w:r>
        <w:t>福州对工业互联网重点项目按实际投资额20%补助，最高不超过200万元。</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近期政策脉络显示，数据安全治理正从原则性立法走向精细化操作指引。《网络数据安全风险评估办法》定于8月20日施行，与《汽车数据出境安全指引（2026版）》形成配套，表明监管重心已转向具体业务场景的风险评估与出境流动。其逻辑在于：数据安全法确立框架后，需要部门规章填充操作细节，使合规路径可预期。研判下一步，金融、医疗、能源等行业大概率跟进出台细分领域的数据安全评估指南，企业合规成本将结构性上升，但合规边界也将更加清晰。</w:t>
      </w:r>
    </w:p>
    <w:p>
      <w:r>
        <w:rPr>
          <w:b/>
          <w:color w:val="5B6DE4"/>
        </w:rPr>
        <w:t xml:space="preserve">②  </w:t>
      </w:r>
      <w:r>
        <w:t>趋势2（技术路线）：算力政策呈现明显的“普惠化+一体化”双轨并行特征。工信部推动的“普惠算力赋能中小企业”专项行动与“枢纽—区域—边缘”三级算力设施体系，共同指向降低算力使用门槛、优化资源全国布局。其政策逻辑是：算力已成为类似水电的基础资源，需通过国家主导的互联互通平台实现供需匹配，避免重复建设。研判认为，算力券模式（如浙江、苏州实践）将从试点走向常态化，但需防范地方补贴竞赛导致的资源错配，全国统一算力调度平台的建设进度将成为关键观察指标。</w:t>
      </w:r>
    </w:p>
    <w:p>
      <w:r>
        <w:rPr>
          <w:b/>
          <w:color w:val="5B6DE4"/>
        </w:rPr>
        <w:t xml:space="preserve">③  </w:t>
      </w:r>
      <w:r>
        <w:t>趋势3（区域格局）：地方“人工智能+”行动方案呈现高度差异化竞争态势。广西明确“北上广研发+广西集成+东盟应用”路径，苏州、浙江侧重算力补贴，广东聚焦中小企业数字化转型。这反映出国家顶层设计之下，地方正依据自身禀赋寻找细分定位。逻辑上，人工智能技术外溢效应强，后发地区难以在基础模型研发上竞争，但可在场景应用、跨境合作、产业落地等环节形成特色。研判提示，区域间算力基础设施的互联互通与数据跨域流动规则将成为下一阶段政策协调的重点，避免形成新的“数据孤岛”。</w:t>
      </w:r>
    </w:p>
    <w:p>
      <w:r>
        <w:rPr>
          <w:b/>
          <w:color w:val="5B6DE4"/>
        </w:rPr>
        <w:t xml:space="preserve">④  </w:t>
      </w:r>
      <w:r>
        <w:t>趋势4（产业影响）：工业互联网与数字化转型政策进入“深水区”，补贴导向从“建设期投入”转向“实效产出”。福州对项目按实际投资额补助、广州延期试点政策并明确改造奖补范围，均显示财政资金使用更强调绩效结果。其逻辑在于，前期“上云上平台”数量目标基本达成，政策需转向提升改造质量与深度。研判认为，未来政策将更注重甄别“真转型”与“伪数字化”，可能引入第三方评估机制，同时产业链供应链的协同数字化转型（链式转型）将获得更多政策倾斜。</w:t>
      </w:r>
    </w:p>
    <w:p>
      <w:r>
        <w:rPr>
          <w:b/>
          <w:color w:val="5B6DE4"/>
        </w:rPr>
        <w:t xml:space="preserve">⑤  </w:t>
      </w:r>
      <w:r>
        <w:t>趋势5（安全合规）：数据跨境流动监管框架加速定型，从“负面清单”走向“正面指引”。北京、上海自贸区数据出境负面清单已落地，而《汽车数据出境安全指引（2026版）》则首次针对特定行业提供出境便利化路径。这显示监管逻辑从“堵”转向“疏堵结合”，在保障安全前提下促进数据高效便利安全流动。研判认为，行业级数据出境指引将陆续覆盖金融、医疗、航运等重点领域，同时“重要数据”目录的界定仍是企业合规的最大不确定性，相关细则亟需出台。</w:t>
      </w:r>
    </w:p>
    <w:p>
      <w:r>
        <w:rPr>
          <w:b/>
          <w:color w:val="5B6DE4"/>
        </w:rPr>
        <w:t xml:space="preserve">⑥  </w:t>
      </w:r>
      <w:r>
        <w:t>趋势6（国际比较）：中国AI治理路径与欧盟、美国形成鲜明对照。欧盟侧重基于风险的横向立法（AI Act），美国偏向行业自律与行政命令，而中国则呈现“部门规章+行业指引+地方试点”的渐进式治理特征。以算力政策为例，中国通过“东数西算”和全国一体化算力网进行强有力统筹，而美国更多依赖市场机制和私营部门投资，日本则聚焦于半导体供应链韧性。中国的优势在于资源调度效率高，但挑战在于如何平衡监管统一性与地方创新活力。欧盟AI Act的域外效力与中国数据出境规定可能产生规则碰撞，跨国企业的合规架构需同时满足多重制度要求，这一矛盾将推动国际社会就AI治理底层规则展开更深入对话。</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