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生成日期：2026-05-30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《《2026年数字经济发展工作要点》印发》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发文日期：2026-05-20</w:t>
        <w:br/>
        <w:t>原文链接：http://finance.people.com.cn/n1/2026/0521/c1004-40724157.html</w:t>
      </w:r>
    </w:p>
    <w:p>
      <w:pPr>
        <w:ind w:left="240"/>
      </w:pPr>
      <w:r>
        <w:t>部署8方面重点任务，深化数据要素市场化改革，筑牢数字基础设施底座。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《《智能体规范应用与创新发展实施意见》》</w:t>
      </w:r>
    </w:p>
    <w:p>
      <w:r>
        <w:rPr>
          <w:color w:val="646464"/>
          <w:sz w:val="20"/>
        </w:rPr>
        <w:t>文　　号：暂无</w:t>
        <w:br/>
        <w:t>发文机关：国家网信办、国家发展改革委、工业和信息化部</w:t>
        <w:br/>
        <w:t>发文日期：2026-05-08</w:t>
      </w:r>
    </w:p>
    <w:p>
      <w:pPr>
        <w:ind w:left="240"/>
      </w:pPr>
      <w:r>
        <w:t>落实人工智能+行动，明确智能体发展要坚持安全规范与创新发展并重。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《《人工智能终端智能化分级》系列国家标准发布》</w:t>
      </w:r>
    </w:p>
    <w:p>
      <w:r>
        <w:rPr>
          <w:color w:val="646464"/>
          <w:sz w:val="20"/>
        </w:rPr>
        <w:t>文　　号：暂无</w:t>
        <w:br/>
        <w:t>发文机关：工业和信息化部</w:t>
        <w:br/>
        <w:t>发文日期：2026-05-08</w:t>
        <w:br/>
        <w:t>原文链接：https://www.miit.gov.cn/xbymdz/xwfb/gxdt/</w:t>
      </w:r>
    </w:p>
    <w:p>
      <w:pPr>
        <w:ind w:left="240"/>
      </w:pPr>
      <w:r>
        <w:t>发布人工智能终端智能化分级系列国家标准，推动终端产业规范化发展。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《关于发布生成式人工智能服务已备案信息的公告（2026年3月至4月）》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发文日期：2026-05-13</w:t>
        <w:br/>
        <w:t>原文链接：https://www.cac.gov.cn/wxzw/wxfb/A093702index_1.htm</w:t>
      </w:r>
    </w:p>
    <w:p>
      <w:pPr>
        <w:ind w:left="240"/>
      </w:pPr>
      <w:r>
        <w:t>公布2026年3月至4月生成式人工智能服务已备案信息。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《2026年“数据要素×”大赛通知发布》</w:t>
      </w:r>
    </w:p>
    <w:p>
      <w:r>
        <w:rPr>
          <w:color w:val="646464"/>
          <w:sz w:val="20"/>
        </w:rPr>
        <w:t>文　　号：暂无</w:t>
        <w:br/>
        <w:t>发文机关：国家数据局、中央网信办、住房城乡建设部等20部门</w:t>
        <w:br/>
        <w:t>发文日期：2026-04-29</w:t>
      </w:r>
    </w:p>
    <w:p>
      <w:pPr>
        <w:ind w:left="240"/>
      </w:pPr>
      <w:r>
        <w:t>主题为数据赋能乘数而上，设置工业制造、现代农业等14个赛道。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《《天津市网络安全和信息化条例》自2026年5月1日起施行》</w:t>
      </w:r>
    </w:p>
    <w:p>
      <w:r>
        <w:rPr>
          <w:color w:val="646464"/>
          <w:sz w:val="20"/>
        </w:rPr>
        <w:t>文　　号：暂无</w:t>
        <w:br/>
        <w:t>发文机关：天津市人民政府</w:t>
        <w:br/>
        <w:t>发文日期：2026-04-28</w:t>
        <w:br/>
        <w:t>原文链接：https://sasac.tj.gov.cn/ZWGK1142/zcwj/sjwj/202605/t20260506_7293990.html</w:t>
      </w:r>
    </w:p>
    <w:p>
      <w:pPr>
        <w:ind w:left="240"/>
      </w:pPr>
      <w:r>
        <w:t>完善通信网络、算力基础设施，支持工业互联网、人工智能等创新基础设施建设。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《关于加快招标投标领域人工智能推广应用的实施意见》</w:t>
      </w:r>
    </w:p>
    <w:p>
      <w:r>
        <w:rPr>
          <w:color w:val="646464"/>
          <w:sz w:val="20"/>
        </w:rPr>
        <w:t>文　　号：发改法规〔2026〕</w:t>
        <w:br/>
        <w:t>发文机关：国家发展改革委</w:t>
        <w:br/>
        <w:t>发文日期：2026-03-11</w:t>
      </w:r>
    </w:p>
    <w:p>
      <w:pPr>
        <w:ind w:left="240"/>
      </w:pPr>
      <w:r>
        <w:t>推动人工智能在招标投标领域应用，协调数据和算力需求。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《全国网络安全标准化技术委员会2026年工作要点》</w:t>
      </w:r>
    </w:p>
    <w:p>
      <w:r>
        <w:rPr>
          <w:color w:val="646464"/>
          <w:sz w:val="20"/>
        </w:rPr>
        <w:t>文　　号：暂无</w:t>
        <w:br/>
        <w:t>发文机关：全国网络安全标准化技术委员会</w:t>
        <w:br/>
        <w:t>发文日期：2026-01-01</w:t>
        <w:br/>
        <w:t>原文链接：https://www.tc260.org.cn/sysFile/downloadFile/dfafc4e480a44777acf6eb8640f532f4</w:t>
      </w:r>
    </w:p>
    <w:p>
      <w:pPr>
        <w:ind w:left="240"/>
      </w:pPr>
      <w:r>
        <w:t>依据新修订网络安全法及数据安全法等，部署2026年网络安全标准化工作。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中国加速智能体规范应用与创新发展，强调安全与创新并重，推动人工智能终端标准化。</w:t>
      </w:r>
    </w:p>
    <w:p>
      <w:r>
        <w:rPr>
          <w:b/>
          <w:color w:val="5B6DE4"/>
        </w:rPr>
        <w:t xml:space="preserve">②  </w:t>
      </w:r>
      <w:r>
        <w:t>数据要素市场化改革深化，国家数据局印发数字经济发展工作要点，推动数据产权登记与公共数据授权运营。</w:t>
      </w:r>
    </w:p>
    <w:p>
      <w:r>
        <w:rPr>
          <w:b/>
          <w:color w:val="5B6DE4"/>
        </w:rPr>
        <w:t xml:space="preserve">③  </w:t>
      </w:r>
      <w:r>
        <w:t>地方立法跟进，天津出台网络安全和信息化条例，强化算力基础设施与工业互联网支持。</w:t>
      </w:r>
    </w:p>
    <w:p>
      <w:r>
        <w:rPr>
          <w:b/>
          <w:color w:val="5B6DE4"/>
        </w:rPr>
        <w:t xml:space="preserve">④  </w:t>
      </w:r>
      <w:r>
        <w:t>数据跨境管理精细化，北京、上海等地发布数据出境负面清单，完善合规路径。</w:t>
      </w:r>
    </w:p>
    <w:p>
      <w:r>
        <w:rPr>
          <w:b/>
          <w:color w:val="5B6DE4"/>
        </w:rPr>
        <w:t xml:space="preserve">⑤  </w:t>
      </w:r>
      <w:r>
        <w:t>人工智能应用场景拓展，发改委推动AI在招标投标领域应用，协调算力与数据需求。</w:t>
      </w:r>
    </w:p>
    <w:p>
      <w:r>
        <w:rPr>
          <w:b/>
          <w:color w:val="5B6DE4"/>
        </w:rPr>
        <w:t xml:space="preserve">⑥  </w:t>
      </w:r>
      <w:r>
        <w:t>国际方面，欧盟AI Act持续落地，美国行政令聚焦AI安全，中国以标准化和试点推动产业与监管平衡。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