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生成日期：2026-07-14　　数据 · 算力 · 信息化</w:t>
      </w:r>
    </w:p>
    <w:p/>
    <w:p>
      <w:pPr>
        <w:pStyle w:val="Heading1"/>
      </w:pPr>
      <w:r>
        <w:rPr>
          <w:color w:val="5B6DE4"/>
          <w:sz w:val="28"/>
        </w:rPr>
        <w:t>一、过去 24 小时关键政策</w:t>
      </w:r>
    </w:p>
    <w:p>
      <w:r>
        <w:rPr>
          <w:b/>
          <w:sz w:val="24"/>
        </w:rPr>
        <w:t>《习近平将出席世界人工智能大会开幕式》</w:t>
      </w:r>
    </w:p>
    <w:p>
      <w:r>
        <w:rPr>
          <w:color w:val="646464"/>
          <w:sz w:val="20"/>
        </w:rPr>
        <w:t>文　　号：暂无</w:t>
        <w:br/>
        <w:t>发文机关：新华社</w:t>
        <w:br/>
        <w:t>发文日期：2026-07-14</w:t>
      </w:r>
    </w:p>
    <w:p>
      <w:pPr>
        <w:ind w:left="240"/>
      </w:pPr>
      <w:r>
        <w:t>国家主席习近平将出席世界人工智能大会开幕式并发表讲话。</w:t>
      </w:r>
    </w:p>
    <w:p>
      <w:pPr>
        <w:spacing w:before="0" w:after="80"/>
        <w:pBdr>
          <w:bottom w:val="single" w:sz="4" w:space="1" w:color="DDDDDD"/>
        </w:pBdr>
      </w:pPr>
    </w:p>
    <w:p/>
    <w:p>
      <w:pPr>
        <w:pStyle w:val="Heading1"/>
      </w:pPr>
      <w:r>
        <w:rPr>
          <w:color w:val="5B6DE4"/>
          <w:sz w:val="28"/>
        </w:rPr>
        <w:t>二、过去一个月主要政策动向</w:t>
      </w:r>
    </w:p>
    <w:p>
      <w:r>
        <w:rPr>
          <w:b/>
          <w:sz w:val="24"/>
        </w:rPr>
        <w:t>《网络数据安全风险评估办法》</w:t>
      </w:r>
    </w:p>
    <w:p>
      <w:r>
        <w:rPr>
          <w:color w:val="646464"/>
          <w:sz w:val="20"/>
        </w:rPr>
        <w:t>文　　号：暂无</w:t>
        <w:br/>
        <w:t>发文机关：国家网信办、工业和信息化部、公安部</w:t>
        <w:br/>
        <w:t>发文日期：2026-06-18</w:t>
      </w:r>
    </w:p>
    <w:p>
      <w:pPr>
        <w:ind w:left="240"/>
      </w:pPr>
      <w:r>
        <w:t>规定重要数据处理者每年开展风险评估，自2026年8月20日起施行。</w:t>
      </w:r>
    </w:p>
    <w:p>
      <w:pPr>
        <w:spacing w:before="0" w:after="80"/>
        <w:pBdr>
          <w:bottom w:val="single" w:sz="4" w:space="1" w:color="DDDDDD"/>
        </w:pBdr>
      </w:pPr>
    </w:p>
    <w:p>
      <w:r>
        <w:rPr>
          <w:b/>
          <w:sz w:val="24"/>
        </w:rPr>
        <w:t>《1—5月我国具身智能企业销售收入增长22.4%》</w:t>
      </w:r>
    </w:p>
    <w:p>
      <w:r>
        <w:rPr>
          <w:color w:val="646464"/>
          <w:sz w:val="20"/>
        </w:rPr>
        <w:t>文　　号：暂无</w:t>
        <w:br/>
        <w:t>发文机关：国家税务总局</w:t>
        <w:br/>
        <w:t>发文日期：2026-06-30</w:t>
      </w:r>
    </w:p>
    <w:p>
      <w:pPr>
        <w:ind w:left="240"/>
      </w:pPr>
      <w:r>
        <w:t>具身智能企业销售收入同比增长22.4%，产业快速发展。</w:t>
      </w:r>
    </w:p>
    <w:p>
      <w:pPr>
        <w:spacing w:before="0" w:after="80"/>
        <w:pBdr>
          <w:bottom w:val="single" w:sz="4" w:space="1" w:color="DDDDDD"/>
        </w:pBdr>
      </w:pPr>
    </w:p>
    <w:p>
      <w:r>
        <w:rPr>
          <w:b/>
          <w:sz w:val="24"/>
        </w:rPr>
        <w:t>《浙江省发展改革委关于省政协十三届三次会议第678号提案的答复》</w:t>
      </w:r>
    </w:p>
    <w:p>
      <w:r>
        <w:rPr>
          <w:color w:val="646464"/>
          <w:sz w:val="20"/>
        </w:rPr>
        <w:t>文　　号：暂无</w:t>
        <w:br/>
        <w:t>发文机关：浙江省发展和改革委员会</w:t>
        <w:br/>
        <w:t>发文日期：2026-06-25</w:t>
      </w:r>
    </w:p>
    <w:p>
      <w:pPr>
        <w:ind w:left="240"/>
      </w:pPr>
      <w:r>
        <w:t>答复涉及推动算力和数据资源共享平台建设等内容。</w:t>
      </w:r>
    </w:p>
    <w:p>
      <w:pPr>
        <w:spacing w:before="0" w:after="80"/>
        <w:pBdr>
          <w:bottom w:val="single" w:sz="4" w:space="1" w:color="DDDDDD"/>
        </w:pBdr>
      </w:pPr>
    </w:p>
    <w:p/>
    <w:p>
      <w:pPr>
        <w:pStyle w:val="Heading1"/>
      </w:pPr>
      <w:r>
        <w:rPr>
          <w:color w:val="5B6DE4"/>
          <w:sz w:val="28"/>
        </w:rPr>
        <w:t>三、今年以来主要政策</w:t>
      </w:r>
    </w:p>
    <w:p>
      <w:r>
        <w:rPr>
          <w:b/>
          <w:sz w:val="24"/>
        </w:rPr>
        <w:t>《人工智能拟人化互动服务管理暂行办法》</w:t>
      </w:r>
    </w:p>
    <w:p>
      <w:r>
        <w:rPr>
          <w:color w:val="646464"/>
          <w:sz w:val="20"/>
        </w:rPr>
        <w:t>文　　号：国家网信办等五部门令第21号</w:t>
        <w:br/>
        <w:t>发文机关：国家网信办、国家发展改革委、工业和信息化部、公安部、市场监管总局</w:t>
        <w:br/>
        <w:t>发文日期：2026-04-10</w:t>
        <w:br/>
        <w:t>原文链接：https://www.gov.cn/gongbao/2026/issue_12806/202606/content_7072472.html</w:t>
      </w:r>
    </w:p>
    <w:p>
      <w:pPr>
        <w:ind w:left="240"/>
      </w:pPr>
      <w:r>
        <w:t>规范人工智能拟人化互动服务，自2026年7月15日起施行。</w:t>
      </w:r>
    </w:p>
    <w:p>
      <w:pPr>
        <w:spacing w:before="0" w:after="80"/>
        <w:pBdr>
          <w:bottom w:val="single" w:sz="4" w:space="1" w:color="DDDDDD"/>
        </w:pBdr>
      </w:pPr>
    </w:p>
    <w:p>
      <w:r>
        <w:rPr>
          <w:b/>
          <w:sz w:val="24"/>
        </w:rPr>
        <w:t>《网络数据安全风险评估办法》</w:t>
      </w:r>
    </w:p>
    <w:p>
      <w:r>
        <w:rPr>
          <w:color w:val="646464"/>
          <w:sz w:val="20"/>
        </w:rPr>
        <w:t>文　　号：暂无</w:t>
        <w:br/>
        <w:t>发文机关：国家网信办、工业和信息化部、公安部</w:t>
        <w:br/>
        <w:t>发文日期：2026-06-18</w:t>
      </w:r>
    </w:p>
    <w:p>
      <w:pPr>
        <w:ind w:left="240"/>
      </w:pPr>
      <w:r>
        <w:t>规定重要数据处理者每年开展风险评估，自2026年8月20日起施行。</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启动人工智能科技伦理审查与服务先导计划。</w:t>
      </w:r>
    </w:p>
    <w:p>
      <w:pPr>
        <w:spacing w:before="0" w:after="80"/>
        <w:pBdr>
          <w:bottom w:val="single" w:sz="4" w:space="1" w:color="DDDDDD"/>
        </w:pBdr>
      </w:pPr>
    </w:p>
    <w:p>
      <w:r>
        <w:rPr>
          <w:b/>
          <w:sz w:val="24"/>
        </w:rPr>
        <w:t>《智能体规范应用与创新发展实施意见》</w:t>
      </w:r>
    </w:p>
    <w:p>
      <w:r>
        <w:rPr>
          <w:color w:val="646464"/>
          <w:sz w:val="20"/>
        </w:rPr>
        <w:t>文　　号：暂无</w:t>
        <w:br/>
        <w:t>发文机关：中央网信办</w:t>
        <w:br/>
        <w:t>发文日期：2026-05-08</w:t>
        <w:br/>
        <w:t>原文链接：https://www.cac.gov.cn/wxzw/zcfg/A093703index_1.htm</w:t>
      </w:r>
    </w:p>
    <w:p>
      <w:pPr>
        <w:ind w:left="240"/>
      </w:pPr>
      <w:r>
        <w:t>统筹高质量发展与高水平安全，推动智能体产业健康发展。</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7月15日，《人工智能拟人化互动服务管理暂行办法》正式施行，标志着中国对生成式AI的监管从原则性规定进入具体场景的精细化治理阶段。逻辑：该办法聚焦“拟人化互动”这一高风险应用场景，要求服务提供者履行身份标识、内容审核、未成年人保护等义务，体现了监管层对AI深度伪造、情感操纵等风险的精准回应。研判：下一步，监管部门可能围绕该办法出台配套技术标准与合规指引，企业需在7月15日前完成服务合规改造，尤其是社交、教育、客服等高频互动领域将面临更严格的审查。</w:t>
      </w:r>
    </w:p>
    <w:p>
      <w:r>
        <w:rPr>
          <w:b/>
          <w:color w:val="5B6DE4"/>
        </w:rPr>
        <w:t xml:space="preserve">②  </w:t>
      </w:r>
      <w:r>
        <w:t>现象：2026年6月18日发布的《网络数据安全风险评估办法》要求重要数据处理者每年开展风险评估，一般数据处理者至少每3年一次，并将评估结果作为监管依据。逻辑：该办法将数据安全风险评估从“建议性”升级为“强制性”，与《数据安全法》第30条形成闭环，旨在建立常态化、制度化的数据安全体检机制。研判：企业数据合规成本将显著上升，第三方评估机构市场将快速扩容；同时，评估结果与监管处罚挂钩，可能导致数据安全保险等衍生服务需求激增。</w:t>
      </w:r>
    </w:p>
    <w:p>
      <w:r>
        <w:rPr>
          <w:b/>
          <w:color w:val="5B6DE4"/>
        </w:rPr>
        <w:t xml:space="preserve">③  </w:t>
      </w:r>
      <w:r>
        <w:t>现象：2026年5月14日，工信部启动人工智能科技伦理审查与服务先导计划，要求对高风险AI项目进行伦理审查。逻辑：此举将伦理审查嵌入AI研发全流程，与《新一代人工智能伦理规范》形成衔接，旨在防范算法歧视、隐私侵犯等伦理风险，提升中国AI产业的国际公信力。研判：该计划可能率先在医疗、金融、人脸识别等敏感领域试点，未来或扩展至所有公共场景AI应用；企业需建立内部伦理委员会或引入第三方伦理审计。</w:t>
      </w:r>
    </w:p>
    <w:p>
      <w:r>
        <w:rPr>
          <w:b/>
          <w:color w:val="5B6DE4"/>
        </w:rPr>
        <w:t xml:space="preserve">④  </w:t>
      </w:r>
      <w:r>
        <w:t>现象：2026年7月14日，习近平主席确认出席世界人工智能大会开幕式，释放最高层对AI产业的高度重视信号。逻辑：在AI产业竞争白热化、全球监管分化加剧的背景下，最高领导人站台意在凝聚产业共识、提振市场信心，并展示中国在AI治理领域的“负责任大国”形象。研判：大会期间可能发布新的AI产业支持政策或国际合作倡议，算力基础设施、大模型开源生态、AI安全治理等议题将成为焦点。</w:t>
      </w:r>
    </w:p>
    <w:p>
      <w:r>
        <w:rPr>
          <w:b/>
          <w:color w:val="5B6DE4"/>
        </w:rPr>
        <w:t xml:space="preserve">⑤  </w:t>
      </w:r>
      <w:r>
        <w:t>现象：2026年前5个月，我国具身智能企业销售收入同比增长22.4%，电子信息制造业营收同比增长17.1%，显示AI与硬件融合产业高速增长。逻辑：具身智能（如人形机器人、自动驾驶）成为继大模型之后的新增长极，政策端通过税收优惠、场景开放等方式加速产业化落地。研判：预计下半年将出台具身智能专项支持政策，包括设立产业基金、建设测试验证平台等；同时，安全监管（如机器人行为规范、数据安全）将同步跟进。</w:t>
      </w:r>
    </w:p>
    <w:p>
      <w:r>
        <w:rPr>
          <w:b/>
          <w:color w:val="5B6DE4"/>
        </w:rPr>
        <w:t xml:space="preserve">⑥  </w:t>
      </w:r>
      <w:r>
        <w:t>现象：中国《人工智能拟人化互动服务管理暂行办法》将于2026年7月15日施行，而欧盟《人工智能法案》（AI Act）已于2026年8月全面生效，美国则通过行政令和NIST框架推进自愿性监管。逻辑：中国采取“场景化+强制性”路径，聚焦高风险应用；欧盟采用“风险分级+全面禁止”模式；美国坚持“轻监管+行业自律”原则。研判：三方监管路径差异将导致跨国AI企业面临合规碎片化挑战，中国可借鉴欧盟的透明度要求与美国的弹性机制，在保障安全的同时避免过度抑制创新。</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