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生成日期：2026-07-21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《关于发布生成式人工智能服务已备案信息的公告(2026年5月至6月)》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发文日期：2026-07-10</w:t>
        <w:br/>
        <w:t>原文链接：https://www.cac.gov.cn/wxzw/wxfb/A093702index_1.htm</w:t>
      </w:r>
    </w:p>
    <w:p>
      <w:pPr>
        <w:ind w:left="240"/>
      </w:pPr>
      <w:r>
        <w:t>公布2026年5月至6月生成式AI服务备案信息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《工业和信息化部办公厅关于公布2025年国家自主创新示范区改革典型案例的通知》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发文日期：2026-07-16</w:t>
        <w:br/>
        <w:t>原文链接：https://www.miit.gov.cn/xbymdz/zwgk/index.html</w:t>
      </w:r>
    </w:p>
    <w:p>
      <w:pPr>
        <w:ind w:left="240"/>
      </w:pPr>
      <w:r>
        <w:t>公布2025年国家自主创新示范区改革典型案例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《工业和信息化部关于印发《推动工业互联网平台高质量发展行动方案(2026—2028年)》的通知》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发文日期：2026-07-10</w:t>
        <w:br/>
        <w:t>原文链接：https://www.miit.gov.cn/jgsj/xxjsfzs/index.html</w:t>
      </w:r>
    </w:p>
    <w:p>
      <w:pPr>
        <w:ind w:left="240"/>
      </w:pPr>
      <w:r>
        <w:t>发布工业互联网平台高质量发展三年行动方案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《省发展改革委关于省政协十三届三次会议第678号提案的答复》</w:t>
      </w:r>
    </w:p>
    <w:p>
      <w:r>
        <w:rPr>
          <w:color w:val="646464"/>
          <w:sz w:val="20"/>
        </w:rPr>
        <w:t>文　　号：暂无</w:t>
        <w:br/>
        <w:t>发文机关：浙江省发展和改革委员会</w:t>
        <w:br/>
        <w:t>发文日期：2026-06-25</w:t>
      </w:r>
    </w:p>
    <w:p>
      <w:pPr>
        <w:ind w:left="240"/>
      </w:pPr>
      <w:r>
        <w:t>支持之江实验室建设万卡级AI算力集群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《工业和信息化部 中央网信办 国家发展改革委 国家数据局关于推动互联网基础资源高质量发展的指导意见》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发文日期：2026-07-01</w:t>
        <w:br/>
        <w:t>原文链接：https://gyxxh.tj.gov.cn/ZWGK4147/ZCWJ6355/gjjwj/202607/t20260713_7334666.html</w:t>
      </w:r>
    </w:p>
    <w:p>
      <w:pPr>
        <w:ind w:left="240"/>
      </w:pPr>
      <w:r>
        <w:t>四部门联合推动互联网基础资源高质量发展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《广西规上工业企业数智化转型工作指引(2026版)》</w:t>
      </w:r>
    </w:p>
    <w:p>
      <w:r>
        <w:rPr>
          <w:color w:val="646464"/>
          <w:sz w:val="20"/>
        </w:rPr>
        <w:t>文　　号：暂无</w:t>
        <w:br/>
        <w:t>发文机关：广西壮族自治区工业和信息化厅</w:t>
        <w:br/>
        <w:t>发文日期：2026-07-01</w:t>
      </w:r>
    </w:p>
    <w:p>
      <w:pPr>
        <w:ind w:left="240"/>
      </w:pPr>
      <w:r>
        <w:t>推动广西规上工业企业数智化转型全域覆盖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发文机关：国家网信办等三部门</w:t>
        <w:br/>
        <w:t>发文日期：2026-06-18</w:t>
        <w:br/>
        <w:t>原文链接：https://www.cac.gov.cn/wxzw/wxfb/A093702index_1.htm</w:t>
      </w:r>
    </w:p>
    <w:p>
      <w:pPr>
        <w:ind w:left="240"/>
      </w:pPr>
      <w:r>
        <w:t>建立网络数据安全风险评估机制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《实施网络安全标识的产品目录(第一批)及相关实施规则》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原文链接：https://www.cac.gov.cn/wxzw/wxfb/A093702index_1.htm</w:t>
      </w:r>
    </w:p>
    <w:p>
      <w:pPr>
        <w:ind w:left="240"/>
      </w:pPr>
      <w:r>
        <w:t>发布首批网络安全标识产品目录及实施规则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《智能体规范应用与创新发展实施意见》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发文日期：2026-05-08</w:t>
        <w:br/>
        <w:t>原文链接：https://www.cac.gov.cn/wxzw/zcfg/A093703index_1.htm</w:t>
      </w:r>
    </w:p>
    <w:p>
      <w:pPr>
        <w:ind w:left="240"/>
      </w:pPr>
      <w:r>
        <w:t>统筹AI智能体高质量发展与高水平安全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《高质量数据集建设现场会在广东省广州市召开》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原文链接：https://www.ndrc.gov.cn/fzggw/wld/llh/zyhd/index.html</w:t>
      </w:r>
    </w:p>
    <w:p>
      <w:pPr>
        <w:ind w:left="240"/>
      </w:pPr>
      <w:r>
        <w:t>推动高质量数据集建设，促进数据产业发展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《全国数据标准化技术委员会2026年第一次标准周活动在广州举行》</w:t>
      </w:r>
    </w:p>
    <w:p>
      <w:r>
        <w:rPr>
          <w:color w:val="646464"/>
          <w:sz w:val="20"/>
        </w:rPr>
        <w:t>文　　号：暂无</w:t>
        <w:br/>
        <w:t>发文机关：全国数据标准化技术委员会</w:t>
        <w:br/>
        <w:t>发文日期：2026-05-20</w:t>
        <w:br/>
        <w:t>原文链接：https://www.ndrc.gov.cn/fzggw/wld/llh/zyhd/index.html</w:t>
      </w:r>
    </w:p>
    <w:p>
      <w:pPr>
        <w:ind w:left="240"/>
      </w:pPr>
      <w:r>
        <w:t>推进数据标准化工作，完善数据治理体系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《第九届数字中国建设峰会》</w:t>
      </w:r>
    </w:p>
    <w:p>
      <w:r>
        <w:rPr>
          <w:color w:val="646464"/>
          <w:sz w:val="20"/>
        </w:rPr>
        <w:t>文　　号：暂无</w:t>
        <w:br/>
        <w:t>发文机关：国家数据局等</w:t>
        <w:br/>
        <w:t>发文日期：2026-05-18</w:t>
        <w:br/>
        <w:t>原文链接：https://www.ndrc.gov.cn/fzggw/wld/llh/zyhd/index.html</w:t>
      </w:r>
    </w:p>
    <w:p>
      <w:pPr>
        <w:ind w:left="240"/>
      </w:pPr>
      <w:r>
        <w:t>展示数字中国建设成果，推动数字经济合作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《算力网纳入国家六张网如何建得好用得好用得起》</w:t>
      </w:r>
    </w:p>
    <w:p>
      <w:r>
        <w:rPr>
          <w:color w:val="646464"/>
          <w:sz w:val="20"/>
        </w:rPr>
        <w:t>文　　号：暂无</w:t>
        <w:br/>
        <w:t>发文机关：中国工信新闻网</w:t>
        <w:br/>
        <w:t>发文日期：2026-05-27</w:t>
      </w:r>
    </w:p>
    <w:p>
      <w:pPr>
        <w:ind w:left="240"/>
      </w:pPr>
      <w:r>
        <w:t>探讨算力网纳入国家基础设施后的建设与运营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《肇庆高新区数字经济创新发展行动方案(2026-2028年)》</w:t>
      </w:r>
    </w:p>
    <w:p>
      <w:r>
        <w:rPr>
          <w:color w:val="646464"/>
          <w:sz w:val="20"/>
        </w:rPr>
        <w:t>文　　号：暂无</w:t>
        <w:br/>
        <w:t>发文机关：肇庆高新区管委会</w:t>
        <w:br/>
        <w:t>发文日期：2026-02-10</w:t>
      </w:r>
    </w:p>
    <w:p>
      <w:pPr>
        <w:ind w:left="240"/>
      </w:pPr>
      <w:r>
        <w:t>聚焦数据交易、AI研发、数字安全，建设数据产业集聚区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《荆州市加快人工智能赋能新型工业化方案(2026-2028年)(征求意见稿)》</w:t>
      </w:r>
    </w:p>
    <w:p>
      <w:r>
        <w:rPr>
          <w:color w:val="646464"/>
          <w:sz w:val="20"/>
        </w:rPr>
        <w:t>文　　号：暂无</w:t>
        <w:br/>
        <w:t>发文机关：荆州市经信局</w:t>
        <w:br/>
        <w:t>发文日期：2026-02-10</w:t>
      </w:r>
    </w:p>
    <w:p>
      <w:pPr>
        <w:ind w:left="240"/>
      </w:pPr>
      <w:r>
        <w:t>推动AI与制造业深度融合，加速数智化转型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2026年7月，四部门联合发布《关于推动互联网基础资源高质量发展的指导意见》，标志着我国从“算力基建”向“互联网基础资源”治理延伸。此前政策多聚焦算力硬件与数据中心，此次将域名、IP地址、网络标识等软性资源纳入统筹，意图构建更完整的数字底座。下一步，预计将出台配套的标识解析与资源调度细则，以支撑工业互联网与AI大模型的规模化部署。</w:t>
      </w:r>
    </w:p>
    <w:p>
      <w:r>
        <w:rPr>
          <w:b/>
          <w:color w:val="5B6DE4"/>
        </w:rPr>
        <w:t xml:space="preserve">②  </w:t>
      </w:r>
      <w:r>
        <w:t>趋势2（技术路线）：工信部于7月印发《推动工业互联网平台高质量发展行动方案(2026—2028年)》，明确未来三年工业互联网平台将从“连接”转向“智能”。政策强调平台需集成AI大模型、数字孪生与边缘计算，推动“平台+AI”深度融合。这反映出国家正将工业互联网作为AI落地的主战场，预计将催生一批行业级AI模型与专用算力需求。</w:t>
      </w:r>
    </w:p>
    <w:p>
      <w:r>
        <w:rPr>
          <w:b/>
          <w:color w:val="5B6DE4"/>
        </w:rPr>
        <w:t xml:space="preserve">③  </w:t>
      </w:r>
      <w:r>
        <w:t>趋势3（区域格局）：浙江、安徽、河南、广西等省份密集出台算力券、智算中心建设与数智化转型指引，呈现“地方竞赛”态势。浙江支持之江实验室建设万卡级AI集群，安徽推出算力券补贴，广西发布规上企业数智化转型指引。这种分散化布局虽能快速提升算力供给，但也可能引发重复建设与资源浪费，未来需国家层面加强跨区域算力调度与标准统一。</w:t>
      </w:r>
    </w:p>
    <w:p>
      <w:r>
        <w:rPr>
          <w:b/>
          <w:color w:val="5B6DE4"/>
        </w:rPr>
        <w:t xml:space="preserve">④  </w:t>
      </w:r>
      <w:r>
        <w:t>趋势4（产业影响）：工信部4月启动“普惠算力赋能中小企业专项行动”，旨在降低中小企业用算成本。结合安徽、宁波等地算力券政策，国家正通过财政补贴与专项服务，将AI算力从大型企业向中小制造企业渗透。此举将加速制造业智能化改造，但需警惕补贴依赖与算力服务商“套利”行为，后续应建立效果评估与退出机制。</w:t>
      </w:r>
    </w:p>
    <w:p>
      <w:r>
        <w:rPr>
          <w:b/>
          <w:color w:val="5B6DE4"/>
        </w:rPr>
        <w:t xml:space="preserve">⑤  </w:t>
      </w:r>
      <w:r>
        <w:t>趋势5（安全合规）：网信办7月发布生成式AI服务备案信息公告（5-6月），并联合三部门出台《网络数据安全风险评估办法》。这表明在AI大模型快速迭代的背景下，监管从“备案制”走向“常态化评估”。同时，《智能体规范应用与创新发展实施意见》的专家解读也释放出对AI Agent（智能体）加强治理的信号。预计下半年将出台针对AI Agent的专门监管细则。</w:t>
      </w:r>
    </w:p>
    <w:p>
      <w:r>
        <w:rPr>
          <w:b/>
          <w:color w:val="5B6DE4"/>
        </w:rPr>
        <w:t xml:space="preserve">⑥  </w:t>
      </w:r>
      <w:r>
        <w:t>趋势6（国际比较）：中国通过“算力券+智算中心+工业互联网平台”组合拳推动AI产业化，而美国2026年通过《AI行政令》侧重联邦机构采购与安全评估，欧盟则依据《AI法案》对高风险应用实施分级监管。中国路径更强调“以用促建”，通过补贴与基建拉动产业需求；美欧侧重风险防控与规则制定。启示：中国需在快速部署的同时，加快建立AI安全评估与跨境数据流动的互认机制，以应对国际合规挑战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