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生成日期：2026-10-21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>
      <w:r>
        <w:rPr>
          <w:b/>
          <w:sz w:val="24"/>
        </w:rPr>
        <w:t>《数字乡村高质量发展行动计划（2026—2030年）》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</w:t>
        <w:br/>
        <w:t>发文日期：2026-09-11</w:t>
        <w:br/>
        <w:t>原文链接：https://www.cac.gov.cn/wxzw/zcfg/A093703index_1.htm</w:t>
      </w:r>
    </w:p>
    <w:p>
      <w:pPr>
        <w:ind w:left="240"/>
      </w:pPr>
      <w:r>
        <w:t>部署数字乡村建设五年任务，推进乡村数字基础设施与数据要素融合。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《关于推动互联网基础资源高质量发展的指导意见》</w:t>
      </w:r>
    </w:p>
    <w:p>
      <w:r>
        <w:rPr>
          <w:color w:val="646464"/>
          <w:sz w:val="20"/>
        </w:rPr>
        <w:t>文　　号：暂无</w:t>
        <w:br/>
        <w:t>发文机关：工业和信息化部、中央网信办、国家发展改革委、国家数据局</w:t>
        <w:br/>
        <w:t>发文日期：2026-07-01</w:t>
        <w:br/>
        <w:t>原文链接：https://gyxxh.tj.gov.cn/ZWGK4147/ZCWJ6355/gjjwj/202607/t20260713_7334666.html</w:t>
      </w:r>
    </w:p>
    <w:p>
      <w:pPr>
        <w:ind w:left="240"/>
      </w:pPr>
      <w:r>
        <w:t>四部门联合部署互联网基础资源高质量发展，强化域名、IP等资源管理。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《大型个人信息处理者个人信息保护规定（征求意见稿）》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发文日期：2026-08-07</w:t>
        <w:br/>
        <w:t>原文链接：https://www.cac.gov.cn/wxzw/sjzl/A093708index_1.htm</w:t>
      </w:r>
    </w:p>
    <w:p>
      <w:pPr>
        <w:ind w:left="240"/>
      </w:pPr>
      <w:r>
        <w:t>拟对大型个人信息处理者设定专门保护义务，公开征求意见。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《辽宁省深化制造业智能化改造数字化转型三年行动计划（2026—2028年）》</w:t>
      </w:r>
    </w:p>
    <w:p>
      <w:r>
        <w:rPr>
          <w:color w:val="646464"/>
          <w:sz w:val="20"/>
        </w:rPr>
        <w:t>文　　号：暂无</w:t>
        <w:br/>
        <w:t>发文机关：辽宁省人民政府</w:t>
        <w:br/>
        <w:t>发文日期：2026-04-23</w:t>
      </w:r>
    </w:p>
    <w:p>
      <w:pPr>
        <w:ind w:left="240"/>
      </w:pPr>
      <w:r>
        <w:t>辽宁系统布局制造业智改数转，配套专项政策与年度工作要点。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《辽宁省促进经济向新向好若干政策举措》</w:t>
      </w:r>
    </w:p>
    <w:p>
      <w:r>
        <w:rPr>
          <w:color w:val="646464"/>
          <w:sz w:val="20"/>
        </w:rPr>
        <w:t>文　　号：暂无</w:t>
        <w:br/>
        <w:t>发文机关：辽宁省人民政府</w:t>
        <w:br/>
        <w:t>发文日期：2026-02-24</w:t>
        <w:br/>
        <w:t>原文链接：https://jrjg.ln.gov.cn/lnsdfjrjddlj/jryw/snyw/2026022409432450560/index.shtml</w:t>
      </w:r>
    </w:p>
    <w:p>
      <w:pPr>
        <w:ind w:left="240"/>
      </w:pPr>
      <w:r>
        <w:t>辽宁出台政策支持企业数字化转型和人工智能算力应用及场景示范。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三、今年以来主要政策</w:t>
      </w:r>
    </w:p>
    <w:p>
      <w:r>
        <w:rPr>
          <w:b/>
          <w:sz w:val="24"/>
        </w:rPr>
        <w:t>《数字乡村高质量发展行动计划（2026—2030年）》</w:t>
      </w:r>
    </w:p>
    <w:p>
      <w:r>
        <w:rPr>
          <w:color w:val="646464"/>
          <w:sz w:val="20"/>
        </w:rPr>
        <w:t>文　　号：暂无</w:t>
        <w:br/>
        <w:t>发文机关：中央网络安全和信息化委员会办公室</w:t>
        <w:br/>
        <w:t>发文日期：2026-09-11</w:t>
        <w:br/>
        <w:t>原文链接：https://www.cac.gov.cn/wxzw/zcfg/A093703index_1.htm</w:t>
      </w:r>
    </w:p>
    <w:p>
      <w:pPr>
        <w:ind w:left="240"/>
      </w:pPr>
      <w:r>
        <w:t>部署数字乡村建设五年任务，推进乡村数字基础设施与数据要素融合。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《关于推动互联网基础资源高质量发展的指导意见》</w:t>
      </w:r>
    </w:p>
    <w:p>
      <w:r>
        <w:rPr>
          <w:color w:val="646464"/>
          <w:sz w:val="20"/>
        </w:rPr>
        <w:t>文　　号：暂无</w:t>
        <w:br/>
        <w:t>发文机关：工业和信息化部、中央网信办、国家发展改革委、国家数据局</w:t>
        <w:br/>
        <w:t>发文日期：2026-07-01</w:t>
        <w:br/>
        <w:t>原文链接：https://gyxxh.tj.gov.cn/ZWGK4147/ZCWJ6355/gjjwj/202607/t20260713_7334666.html</w:t>
      </w:r>
    </w:p>
    <w:p>
      <w:pPr>
        <w:ind w:left="240"/>
      </w:pPr>
      <w:r>
        <w:t>四部门联合部署互联网基础资源高质量发展，强化域名、IP等资源管理。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《大型个人信息处理者个人信息保护规定（征求意见稿）》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发文日期：2026-08-07</w:t>
        <w:br/>
        <w:t>原文链接：https://www.cac.gov.cn/wxzw/sjzl/A093708index_1.htm</w:t>
      </w:r>
    </w:p>
    <w:p>
      <w:pPr>
        <w:ind w:left="240"/>
      </w:pPr>
      <w:r>
        <w:t>拟对大型个人信息处理者设定专门保护义务，公开征求意见。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《辽宁省深化制造业智能化改造数字化转型三年行动计划（2026—2028年）》</w:t>
      </w:r>
    </w:p>
    <w:p>
      <w:r>
        <w:rPr>
          <w:color w:val="646464"/>
          <w:sz w:val="20"/>
        </w:rPr>
        <w:t>文　　号：暂无</w:t>
        <w:br/>
        <w:t>发文机关：辽宁省人民政府</w:t>
        <w:br/>
        <w:t>发文日期：2026-04-23</w:t>
      </w:r>
    </w:p>
    <w:p>
      <w:pPr>
        <w:ind w:left="240"/>
      </w:pPr>
      <w:r>
        <w:t>辽宁系统布局制造业智改数转，配套专项政策与年度工作要点。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《辽宁省促进经济向新向好若干政策举措》</w:t>
      </w:r>
    </w:p>
    <w:p>
      <w:r>
        <w:rPr>
          <w:color w:val="646464"/>
          <w:sz w:val="20"/>
        </w:rPr>
        <w:t>文　　号：暂无</w:t>
        <w:br/>
        <w:t>发文机关：辽宁省人民政府</w:t>
        <w:br/>
        <w:t>发文日期：2026-02-24</w:t>
        <w:br/>
        <w:t>原文链接：https://jrjg.ln.gov.cn/lnsdfjrjddlj/jryw/snyw/2026022409432450560/index.shtml</w:t>
      </w:r>
    </w:p>
    <w:p>
      <w:pPr>
        <w:ind w:left="240"/>
      </w:pPr>
      <w:r>
        <w:t>辽宁出台政策支持企业数字化转型和人工智能算力应用及场景示范。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四、未来趋势判断</w:t>
      </w:r>
    </w:p>
    <w:p>
      <w:r>
        <w:rPr>
          <w:b/>
          <w:color w:val="5B6DE4"/>
        </w:rPr>
        <w:t xml:space="preserve">①  </w:t>
      </w:r>
      <w:r>
        <w:t>制度建设：国家网信办2026年8月就《大型个人信息处理者个人信息保护规定》征求意见，拟对超大规模平台设定独立合规义务。这延续了《个人信息保护法》分类分级思路，将监管资源向高风险主体集中。研判：正式稿可能引入年度审计与外部监督机制，大型互联网企业合规成本上升，中小处理者获相对宽松空间，监管走向精准化。</w:t>
      </w:r>
    </w:p>
    <w:p>
      <w:r>
        <w:rPr>
          <w:b/>
          <w:color w:val="5B6DE4"/>
        </w:rPr>
        <w:t xml:space="preserve">②  </w:t>
      </w:r>
      <w:r>
        <w:t>技术路线：工信部等四部门7月联合印发《关于推动互联网基础资源高质量发展的指导意见》，明确域名、IP地址等基础资源与算力网络协同布局。这反映政策层将互联网基础资源视为数字经济底座，意图以资源高效配置支撑AI与工业互联网。研判：后续可能出台基础资源与算力调度联动细则，IPv6规模部署和中文域名推广将提速。</w:t>
      </w:r>
    </w:p>
    <w:p>
      <w:r>
        <w:rPr>
          <w:b/>
          <w:color w:val="5B6DE4"/>
        </w:rPr>
        <w:t xml:space="preserve">③  </w:t>
      </w:r>
      <w:r>
        <w:t>区域格局：辽宁2026年4月出台制造业智改数转三年行动计划，配套专项政策和年度工作要点，2月又发布促进经济向新向好举措，对算力使用和场景示范给予资金支持。这体现东北老工业基地以数字化转型撬动产业升级的路径。研判：辽宁模式侧重制造业场景驱动，与东部沿海的通用AI路线形成差异，需关注资金落地效率与人才短板。</w:t>
      </w:r>
    </w:p>
    <w:p>
      <w:r>
        <w:rPr>
          <w:b/>
          <w:color w:val="5B6DE4"/>
        </w:rPr>
        <w:t xml:space="preserve">④  </w:t>
      </w:r>
      <w:r>
        <w:t>产业影响：中央网信办9月发布《数字乡村高质量发展行动计划（2026—2030年）》，将数字基础设施与数据要素向乡村延伸。这既是缩小城乡数字鸿沟的民生工程，也为农业数据要素市场化开辟空间。研判：数字乡村建设将带动县域算力节点和边缘计算部署，但需防范重复建设与数据孤岛，后续配套标准值得跟踪。</w:t>
      </w:r>
    </w:p>
    <w:p>
      <w:r>
        <w:rPr>
          <w:b/>
          <w:color w:val="5B6DE4"/>
        </w:rPr>
        <w:t xml:space="preserve">⑤  </w:t>
      </w:r>
      <w:r>
        <w:t>安全合规：2026年数据安全和个人信息保护政策法规宣讲会在广东等地开展，国家网信办持续推进数据出境安全管理政策问答。这显示监管重心从立法转向执法与合规服务并重。研判：数据跨境流动便利化与安全评估将同步推进，企业需建立常态化数据分类分级机制，自贸区负面清单模式可能扩围。</w:t>
      </w:r>
    </w:p>
    <w:p>
      <w:r>
        <w:rPr>
          <w:b/>
          <w:color w:val="5B6DE4"/>
        </w:rPr>
        <w:t xml:space="preserve">⑥  </w:t>
      </w:r>
      <w:r>
        <w:t>国际比较：欧盟AI Act进入分阶段实施，GDPR执法持续收紧；美国以行政令和NIST框架推动AI安全；日本数字厅推进AI治理与数据流通并重。中国则以网信办牵头、多部门协同，强调安全与发展平衡。异同：欧美偏重权利保护与风险分级，中国更强调数据要素价值释放与产业赋能。启示：中国可借鉴欧盟风险分级思路细化AI监管，同时保持基础设施先行优势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