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生成日期：2026-06-21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《《“人工智能+信息通信”创新发展实施意见（2026）》》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发文日期：2026-06-11</w:t>
        <w:br/>
        <w:t>原文链接：https://hubca.miit.gov.cn/zwgk/zcwj/wjfb/art/2026/art_1a6880738cfc4235afeda815d6ae8ab4.html</w:t>
      </w:r>
    </w:p>
    <w:p>
      <w:pPr>
        <w:ind w:left="240"/>
      </w:pPr>
      <w:r>
        <w:t>推动AI与信息通信融合，强化智能化监管与安全保障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《关于发布生成式人工智能服务已备案信息的公告（2026年3月至4月）》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发文日期：2026-06-13</w:t>
        <w:br/>
        <w:t>原文链接：https://www.cac.gov.cn/wxzw/wxfb/A093702index_1.htm</w:t>
      </w:r>
    </w:p>
    <w:p>
      <w:pPr>
        <w:ind w:left="240"/>
      </w:pPr>
      <w:r>
        <w:t>公布生成式AI服务备案信息，加强算法与内容监管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《2026年人工智能技术赋能网络安全应用测试公告》</w:t>
      </w:r>
    </w:p>
    <w:p>
      <w:r>
        <w:rPr>
          <w:color w:val="646464"/>
          <w:sz w:val="20"/>
        </w:rPr>
        <w:t>文　　号：暂无</w:t>
        <w:br/>
        <w:t>发文机关：中央网信办</w:t>
        <w:br/>
        <w:t>发文日期：2026-06-21</w:t>
        <w:br/>
        <w:t>原文链接：https://www.zjwx.gov.cn/col/col1673580/</w:t>
      </w:r>
    </w:p>
    <w:p>
      <w:pPr>
        <w:ind w:left="240"/>
      </w:pPr>
      <w:r>
        <w:t>启动AI赋能网络安全应用测试，提升安全防护能力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《《智能体规范应用与创新发展实施意见》》</w:t>
      </w:r>
    </w:p>
    <w:p>
      <w:r>
        <w:rPr>
          <w:color w:val="646464"/>
          <w:sz w:val="20"/>
        </w:rPr>
        <w:t>文　　号：暂无</w:t>
        <w:br/>
        <w:t>发文机关：国家网信办、国家发展改革委、工业和信息化部</w:t>
        <w:br/>
        <w:t>发文日期：2026-05-08</w:t>
        <w:br/>
        <w:t>原文链接：https://www.cac.gov.cn/wxzw/wxfb/A093702index_1.htm</w:t>
      </w:r>
    </w:p>
    <w:p>
      <w:pPr>
        <w:ind w:left="240"/>
      </w:pPr>
      <w:r>
        <w:t>规范智能体应用，促进AI智能体产业创新发展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《《2026年数字经济发展工作要点》》</w:t>
      </w:r>
    </w:p>
    <w:p>
      <w:r>
        <w:rPr>
          <w:color w:val="646464"/>
          <w:sz w:val="20"/>
        </w:rPr>
        <w:t>文　　号：暂无</w:t>
        <w:br/>
        <w:t>发文机关：国家发展改革委、国家数据局</w:t>
        <w:br/>
        <w:t>发文日期：2026-05-21</w:t>
      </w:r>
    </w:p>
    <w:p>
      <w:pPr>
        <w:ind w:left="240"/>
      </w:pPr>
      <w:r>
        <w:t>深化数据要素改革，建设算力网，赋能AI发展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《刘烈宏主持召开词元经济座谈会》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发文日期：2026-05-25</w:t>
        <w:br/>
        <w:t>原文链接：https://www.ndrc.gov.cn/fzggw/wld/llh/zyhd/index.html</w:t>
      </w:r>
    </w:p>
    <w:p>
      <w:pPr>
        <w:ind w:left="240"/>
      </w:pPr>
      <w:r>
        <w:t>探讨词元经济（Token Economy）发展，推动数据价值化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《国家数据局召开数据领域座谈会》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发文日期：2026-05-25</w:t>
        <w:br/>
        <w:t>原文链接：https://www.ndrc.gov.cn/fzggw/wld/llh/zyhd/index.html</w:t>
      </w:r>
    </w:p>
    <w:p>
      <w:pPr>
        <w:ind w:left="240"/>
      </w:pPr>
      <w:r>
        <w:t>研讨数据领域重点问题，推进数据基础制度建设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《2026年“数据要素×”大赛启动》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发文日期：2026-05-25</w:t>
        <w:br/>
        <w:t>原文链接：https://www.ndrc.gov.cn/fzggw/wld/llh/zyhd/index.html</w:t>
      </w:r>
    </w:p>
    <w:p>
      <w:pPr>
        <w:ind w:left="240"/>
      </w:pPr>
      <w:r>
        <w:t>以赛促用，推动数据要素在各行业创新应用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《上海印发数据出境负面清单管理办法及2025版清单》</w:t>
      </w:r>
    </w:p>
    <w:p>
      <w:r>
        <w:rPr>
          <w:color w:val="646464"/>
          <w:sz w:val="20"/>
        </w:rPr>
        <w:t>文　　号：暂无</w:t>
        <w:br/>
        <w:t>发文机关：上海市网信办、上海市数据局</w:t>
        <w:br/>
        <w:t>发文日期：2026-04-30</w:t>
      </w:r>
    </w:p>
    <w:p>
      <w:pPr>
        <w:ind w:left="240"/>
      </w:pPr>
      <w:r>
        <w:t>明确数据出境负面清单，规范自贸区数据跨境流动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《第五届全国信息技术标准化技术委员会第一次全体会议在京召开》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发文日期：2026-06-01</w:t>
        <w:br/>
        <w:t>原文链接：https://www.miit.gov.cn/xbymdz/xwfb/gxdt/</w:t>
      </w:r>
    </w:p>
    <w:p>
      <w:pPr>
        <w:ind w:left="240"/>
      </w:pPr>
      <w:r>
        <w:t>部署信息技术标准化工作，推动数字技术标准体系建设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《刘烈宏赴温州市、深圳市、东莞市调研数据要素市场化配置改革工作》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发文日期：2026-06-01</w:t>
        <w:br/>
        <w:t>原文链接：https://www.ndrc.gov.cn/fzggw/wld/llh/zyhd/index.html</w:t>
      </w:r>
    </w:p>
    <w:p>
      <w:pPr>
        <w:ind w:left="240"/>
      </w:pPr>
      <w:r>
        <w:t>调研数据要素市场化配置改革，推动数据产权与流通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《《工业互联网和人工智能融合赋能行动方案》》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发文日期：2026-01-01</w:t>
      </w:r>
    </w:p>
    <w:p>
      <w:pPr>
        <w:ind w:left="240"/>
      </w:pPr>
      <w:r>
        <w:t>推动工业互联网和AI融合，实施四大行动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《《推动工业互联网平台高质量发展行动方案（2026—2028年）》》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发文日期：2026-01-13</w:t>
        <w:br/>
        <w:t>原文链接：https://www.miit.gov.cn/jgsj/xxjsfzs/gzdt/art/2026/art_926b6c211725491ca89ca218379405e1.html</w:t>
      </w:r>
    </w:p>
    <w:p>
      <w:pPr>
        <w:ind w:left="240"/>
      </w:pPr>
      <w:r>
        <w:t>推动工业互联网平台高质量发展，明确三年行动目标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《上海市2026年制造业智能化发展项目申报通知》</w:t>
      </w:r>
    </w:p>
    <w:p>
      <w:r>
        <w:rPr>
          <w:color w:val="646464"/>
          <w:sz w:val="20"/>
        </w:rPr>
        <w:t>文　　号：暂无</w:t>
        <w:br/>
        <w:t>发文机关：上海市经济和信息化委员会</w:t>
        <w:br/>
        <w:t>发文日期：2026-01-12</w:t>
        <w:br/>
        <w:t>原文链接：https://www.sheitc.sh.gov.cn/cyfz/20260112/11e3168ff89a4eeea2b1afd193c19418.html</w:t>
      </w:r>
    </w:p>
    <w:p>
      <w:pPr>
        <w:ind w:left="240"/>
      </w:pPr>
      <w:r>
        <w:t>支持工业互联网平台智能化转型，提供AI工具与语料服务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《广东省2026年支持推动人工智能赋能新型工业化标杆项目入库》</w:t>
      </w:r>
    </w:p>
    <w:p>
      <w:r>
        <w:rPr>
          <w:color w:val="646464"/>
          <w:sz w:val="20"/>
        </w:rPr>
        <w:t>文　　号：暂无</w:t>
        <w:br/>
        <w:t>发文机关：广东省工业和信息化厅</w:t>
        <w:br/>
        <w:t>发文日期：2026-01-01</w:t>
        <w:br/>
        <w:t>原文链接：http://www.jiangmen.gov.cn/jmgxj/attachment/0/349/349704/3350943.pdf</w:t>
      </w:r>
    </w:p>
    <w:p>
      <w:pPr>
        <w:ind w:left="240"/>
      </w:pPr>
      <w:r>
        <w:t>聚焦AI赋能新型工业化，组织标杆项目入库储备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：智能体治理从政策呼吁走向制度化规范。2026年5月，国家网信办等三部门联合发布《智能体规范应用与创新发展实施意见》，这是全球首个针对AI智能体的专项政策。其逻辑在于：智能体（Agent）正从对话工具演变为自主执行任务的数字实体，传统AI监管框架难以覆盖其行为责任、数据交互与安全风险。研判：后续将出台配套的智能体备案、测试与责任认定细则，企业需提前布局智能体合规体系。</w:t>
      </w:r>
    </w:p>
    <w:p>
      <w:r>
        <w:rPr>
          <w:b/>
          <w:color w:val="5B6DE4"/>
        </w:rPr>
        <w:t xml:space="preserve">②  </w:t>
      </w:r>
      <w:r>
        <w:t>趋势2：数据要素市场化改革进入“全国统一产权”攻坚期。《2026年数字经济发展工作要点》明确提出“加快建立全国统一数据产权登记制度”，国家数据局局长刘烈宏密集调研深圳、温州等地。逻辑在于：数据确权是流通交易的前提，各地试点经验需上升为全国统一规则。研判：2026年下半年可能出台数据产权登记指引，公共数据授权运营价格机制将率先落地，数据交易所将加速整合。</w:t>
      </w:r>
    </w:p>
    <w:p>
      <w:r>
        <w:rPr>
          <w:b/>
          <w:color w:val="5B6DE4"/>
        </w:rPr>
        <w:t xml:space="preserve">③  </w:t>
      </w:r>
      <w:r>
        <w:t>趋势3：AI与工业互联网融合从概念验证转向规模化行动。工信部年初印发《工业互联网和人工智能融合赋能行动方案》，上海、广东等地迅速跟进项目申报。逻辑在于：工业场景对AI的需求从“单点优化”升级为“全流程智能”，但数据孤岛与模型泛化能力仍是瓶颈。研判：未来两年将涌现一批“工业大模型”标杆案例，但需警惕算力成本与数据安全风险。</w:t>
      </w:r>
    </w:p>
    <w:p>
      <w:r>
        <w:rPr>
          <w:b/>
          <w:color w:val="5B6DE4"/>
        </w:rPr>
        <w:t xml:space="preserve">④  </w:t>
      </w:r>
      <w:r>
        <w:t>趋势4：算力布局从“东数西算”宏观框架下沉至城市级精细规划。天津、青岛、威海等地纷纷出台2024-2026年算力或AI产业方案，强调通用算力、智能算力、超算一体化。逻辑在于：AI大模型训练推理需求爆发，智能算力成为稀缺资源，地方政府争抢算力产业高地。研判：算力资源将出现区域分化，东部城市侧重智算中心建设，西部侧重绿色能源配套，算力调度平台将成为新基建重点。</w:t>
      </w:r>
    </w:p>
    <w:p>
      <w:r>
        <w:rPr>
          <w:b/>
          <w:color w:val="5B6DE4"/>
        </w:rPr>
        <w:t xml:space="preserve">⑤  </w:t>
      </w:r>
      <w:r>
        <w:t>趋势5：数据跨境流动规则在“安全与发展”间寻找平衡点。上海率先发布数据出境负面清单管理办法，明确自贸区数据出境场景与要求。逻辑在于：企业跨境业务需求迫切，但《数据安全法》《个人信息保护法》框架下合规成本高，负面清单模式提供“可预期”的监管路径。研判：负面清单模式将向更多自贸区复制，但关键行业（如汽车、金融）数据出境仍将面临严格审查。</w:t>
      </w:r>
    </w:p>
    <w:p>
      <w:r>
        <w:rPr>
          <w:b/>
          <w:color w:val="5B6DE4"/>
        </w:rPr>
        <w:t xml:space="preserve">⑥  </w:t>
      </w:r>
      <w:r>
        <w:t>趋势6（国际比较）：中国智能体治理领先，但数据跨境规则仍逊于欧盟。中国2026年5月发布《智能体规范应用与创新发展实施意见》，而欧盟AI Act尚未专门覆盖智能体；美国则更依赖行业自律。但在数据跨境领域，欧盟GDPR+充分性认定体系成熟，中国负面清单模式虽灵活，但缺乏类似“标准合同条款”的通用工具。启示：中国可借鉴欧盟“行为准则”机制，为企业提供更多合规选项，同时加快与“一带一路”国家的数据互认谈判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