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生成日期：2026-10-22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明确未来五年数字乡村建设目标，推进智能化、绿色化、融合化发展。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《工业互联网数据要素登记要求》</w:t>
      </w:r>
    </w:p>
    <w:p>
      <w:r>
        <w:rPr>
          <w:color w:val="646464"/>
          <w:sz w:val="20"/>
        </w:rPr>
        <w:t>文　　号：GB/T 47969-2026</w:t>
        <w:br/>
        <w:t>发文机关：国家市场监督管理总局、国家标准化管理委员会</w:t>
        <w:br/>
        <w:t>发文日期：2026-10-01</w:t>
      </w:r>
    </w:p>
    <w:p>
      <w:pPr>
        <w:ind w:left="240"/>
      </w:pPr>
      <w:r>
        <w:t>国家标准明确工业互联网数据要素登记要求，规范数据确权与流通。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四部门联合发文，部署互联网基础资源高质量发展，强化数字基础设施支撑。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拟对大型个人信息处理者提出更严格保护要求，公开征求意见。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《汽车数据出境安全指引（试行）》</w:t>
      </w:r>
    </w:p>
    <w:p>
      <w:r>
        <w:rPr>
          <w:color w:val="646464"/>
          <w:sz w:val="20"/>
        </w:rPr>
        <w:t>文　　号：暂无</w:t>
        <w:br/>
        <w:t>发文机关：工业和信息化部、国家网信办、国家发展改革委等八部门</w:t>
        <w:br/>
        <w:t>发文日期：2026-02-03</w:t>
      </w:r>
    </w:p>
    <w:p>
      <w:pPr>
        <w:ind w:left="240"/>
      </w:pPr>
      <w:r>
        <w:t>八部门联合发布汽车数据出境安全指引，规范汽车数据跨境流动。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《2026年数据安全和个人信息保护政策法规宣讲会（广东站）》</w:t>
      </w:r>
    </w:p>
    <w:p>
      <w:r>
        <w:rPr>
          <w:color w:val="646464"/>
          <w:sz w:val="20"/>
        </w:rPr>
        <w:t>文　　号：暂无</w:t>
        <w:br/>
        <w:t>发文机关：国家网信办网络数据管理局指导，广东省互联网信息办公室等</w:t>
        <w:br/>
        <w:t>发文日期：2026-04-14</w:t>
      </w:r>
    </w:p>
    <w:p>
      <w:pPr>
        <w:ind w:left="240"/>
      </w:pPr>
      <w:r>
        <w:t>推动数据安全和个人信息保护法规落地，提升政企保护能力。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明确未来五年数字乡村建设目标，推进智能化、绿色化、融合化发展。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拟对大型个人信息处理者提出更严格保护要求，公开征求意见。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《工业互联网数据要素登记要求》</w:t>
      </w:r>
    </w:p>
    <w:p>
      <w:r>
        <w:rPr>
          <w:color w:val="646464"/>
          <w:sz w:val="20"/>
        </w:rPr>
        <w:t>文　　号：GB/T 47969-2026</w:t>
        <w:br/>
        <w:t>发文机关：国家市场监督管理总局、国家标准化管理委员会</w:t>
        <w:br/>
        <w:t>发文日期：2026-10-01</w:t>
      </w:r>
    </w:p>
    <w:p>
      <w:pPr>
        <w:ind w:left="240"/>
      </w:pPr>
      <w:r>
        <w:t>国家标准明确工业互联网数据要素登记要求，规范数据确权与流通。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四部门联合发文，部署互联网基础资源高质量发展，强化数字基础设施支撑。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《汽车数据出境安全指引（试行）》</w:t>
      </w:r>
    </w:p>
    <w:p>
      <w:r>
        <w:rPr>
          <w:color w:val="646464"/>
          <w:sz w:val="20"/>
        </w:rPr>
        <w:t>文　　号：暂无</w:t>
        <w:br/>
        <w:t>发文机关：工业和信息化部、国家网信办、国家发展改革委等八部门</w:t>
        <w:br/>
        <w:t>发文日期：2026-02-03</w:t>
      </w:r>
    </w:p>
    <w:p>
      <w:pPr>
        <w:ind w:left="240"/>
      </w:pPr>
      <w:r>
        <w:t>八部门联合发布汽车数据出境安全指引，规范汽车数据跨境流动。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《2026年数据安全和个人信息保护政策法规宣讲会（广东站）》</w:t>
      </w:r>
    </w:p>
    <w:p>
      <w:r>
        <w:rPr>
          <w:color w:val="646464"/>
          <w:sz w:val="20"/>
        </w:rPr>
        <w:t>文　　号：暂无</w:t>
        <w:br/>
        <w:t>发文机关：国家网信办网络数据管理局指导，广东省互联网信息办公室等</w:t>
        <w:br/>
        <w:t>发文日期：2026-04-14</w:t>
      </w:r>
    </w:p>
    <w:p>
      <w:pPr>
        <w:ind w:left="240"/>
      </w:pPr>
      <w:r>
        <w:t>推动数据安全和个人信息保护法规落地，提升政企保护能力。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制度建设：2026年8月国家网信办就《大型个人信息处理者个人信息保护规定》公开征求意见，拟对用户规模巨大的平台设定更严格合规义务。这反映监管从“普适规则”转向“分级分类”精准治理，意图以头部平台为抓手降低系统性风险。研判：正式稿可能引入独立审计与年度报告制度，中小平台合规成本相对下降，但头部企业面临数据治理架构重构压力。</w:t>
      </w:r>
    </w:p>
    <w:p>
      <w:r>
        <w:rPr>
          <w:b/>
          <w:color w:val="5B6DE4"/>
        </w:rPr>
        <w:t xml:space="preserve">②  </w:t>
      </w:r>
      <w:r>
        <w:t>技术路线：GB/T 47969-2026《工业互联网数据要素登记要求》于10月实施，首次以国家标准形式规范工业数据确权登记。其逻辑在于破解工业数据“不敢传、不愿传、不会传”的流通困局，为数据资产入表提供技术底座。研判：后续将催生第三方数据登记服务机构，但跨行业互认机制缺失可能制约全国统一数据要素市场形成。</w:t>
      </w:r>
    </w:p>
    <w:p>
      <w:r>
        <w:rPr>
          <w:b/>
          <w:color w:val="5B6DE4"/>
        </w:rPr>
        <w:t xml:space="preserve">③  </w:t>
      </w:r>
      <w:r>
        <w:t>区域格局：广东4月举办“数安中国行”宣讲会，9月中央网信办发布数字乡村行动计划，显示地方在数据安全与数字乡村领域先行探索。逻辑是省级政府承接国家战略并差异化落地，广东侧重数据合规能力建设，乡村行动则聚焦中西部数字化补短板。研判：辽宁、江苏等省或跟进出台配套细则，区域间数字基础设施差距可能扩大。</w:t>
      </w:r>
    </w:p>
    <w:p>
      <w:r>
        <w:rPr>
          <w:b/>
          <w:color w:val="5B6DE4"/>
        </w:rPr>
        <w:t xml:space="preserve">④  </w:t>
      </w:r>
      <w:r>
        <w:t>产业影响：工信部等四部门7月发布《关于推动互联网基础资源高质量发展的指导意见》，明确优化IPv6、域名等基础资源供给。此举意在为工业互联网、算力网络提供底层支撑，降低企业数字化转型门槛。研判：基础资源服务市场将向头部集中，中小企业接入成本短期上升，但长期利好算力调度与东数西算工程落地。</w:t>
      </w:r>
    </w:p>
    <w:p>
      <w:r>
        <w:rPr>
          <w:b/>
          <w:color w:val="5B6DE4"/>
        </w:rPr>
        <w:t xml:space="preserve">⑤  </w:t>
      </w:r>
      <w:r>
        <w:t>安全合规：八部门2月联合发布《汽车数据出境安全指引（试行）》，针对智能网联汽车数据跨境场景设定安全评估路径。制度逻辑是平衡汽车产业全球化与数据主权，以“场景化”规则替代一刀切禁令。研判：车企需建立数据分类分级与出境自评估机制，后续可能扩展至医疗、金融等高敏感行业，合规科技需求将爆发。</w:t>
      </w:r>
    </w:p>
    <w:p>
      <w:r>
        <w:rPr>
          <w:b/>
          <w:color w:val="5B6DE4"/>
        </w:rPr>
        <w:t xml:space="preserve">⑥  </w:t>
      </w:r>
      <w:r>
        <w:t>国际比较：欧盟AI Act与GDPR持续强化风险分级与数据权利保护，美国则倾向行业自律与行政令灵活干预；中国2026年以《大型个人信息处理者规定》和汽车数据出境指引为代表，走“分级分类+场景化”中间路线。异同在于中国更强调安全与发展并重，欧美更侧重基本权利与创新平衡。启示：中国可借鉴欧盟风险评估工具，但需避免合规负担抑制中小企业创新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