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生成日期：2026-05-29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《《2026年数字经济发展工作要点》印发》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发文日期：2026-05-20</w:t>
        <w:br/>
        <w:t>原文链接：http://finance.people.com.cn/n1/2026/0521/c1004-40724157.html</w:t>
      </w:r>
    </w:p>
    <w:p>
      <w:pPr>
        <w:ind w:left="240"/>
      </w:pPr>
      <w:r>
        <w:t>部署8方面重点任务，包括数据要素市场化、数字基础设施等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《全国网络安全标准化技术委员会2026年工作要点》</w:t>
      </w:r>
    </w:p>
    <w:p>
      <w:r>
        <w:rPr>
          <w:color w:val="646464"/>
          <w:sz w:val="20"/>
        </w:rPr>
        <w:t>文　　号：暂无</w:t>
        <w:br/>
        <w:t>发文机关：全国网络安全标准化技术委员会</w:t>
        <w:br/>
        <w:t>发文日期：2026-05-29</w:t>
        <w:br/>
        <w:t>原文链接：https://www.tc260.org.cn/sysFile/downloadFile/dfafc4e480a44777acf6eb8640f532f4</w:t>
      </w:r>
    </w:p>
    <w:p>
      <w:pPr>
        <w:ind w:left="240"/>
      </w:pPr>
      <w:r>
        <w:t>落实网络安全法、数据安全法，推进标准制定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《《人工智能终端智能化分级》系列国家标准发布》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发文日期：2026-05-08</w:t>
        <w:br/>
        <w:t>原文链接：https://www.miit.gov.cn/xbymdz/xwfb/gxdt/</w:t>
      </w:r>
    </w:p>
    <w:p>
      <w:pPr>
        <w:ind w:left="240"/>
      </w:pPr>
      <w:r>
        <w:t>推动人工智能终端产品标准化与分级管理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《北京市等三部门印发中国（北京）自由贸易试验区数据出境负面清单及管理办法》</w:t>
      </w:r>
    </w:p>
    <w:p>
      <w:r>
        <w:rPr>
          <w:color w:val="646464"/>
          <w:sz w:val="20"/>
        </w:rPr>
        <w:t>文　　号：暂无</w:t>
        <w:br/>
        <w:t>发文机关：北京市互联网信息办公室等</w:t>
        <w:br/>
        <w:t>发文日期：2026-05-18</w:t>
        <w:br/>
        <w:t>原文链接：https://www.cac.gov.cn/wxzw/A0937index_1.htm</w:t>
      </w:r>
    </w:p>
    <w:p>
      <w:pPr>
        <w:ind w:left="240"/>
      </w:pPr>
      <w:r>
        <w:t>规范自贸区数据出境管理，促进数据安全流动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《2026年“数据要素×”大赛通知发布》</w:t>
      </w:r>
    </w:p>
    <w:p>
      <w:r>
        <w:rPr>
          <w:color w:val="646464"/>
          <w:sz w:val="20"/>
        </w:rPr>
        <w:t>文　　号：暂无</w:t>
        <w:br/>
        <w:t>发文机关：国家数据局、中央网信办等20部门</w:t>
        <w:br/>
        <w:t>发文日期：2026-04-29</w:t>
      </w:r>
    </w:p>
    <w:p>
      <w:pPr>
        <w:ind w:left="240"/>
      </w:pPr>
      <w:r>
        <w:t>主题数据赋能乘数而上，涵盖工业制造等多个领域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《《天津市网络安全和信息化条例》自2026年5月1日起施行》</w:t>
      </w:r>
    </w:p>
    <w:p>
      <w:r>
        <w:rPr>
          <w:color w:val="646464"/>
          <w:sz w:val="20"/>
        </w:rPr>
        <w:t>文　　号：暂无</w:t>
        <w:br/>
        <w:t>发文机关：天津市人民政府</w:t>
        <w:br/>
        <w:t>发文日期：2026-04-28</w:t>
        <w:br/>
        <w:t>原文链接：https://sasac.tj.gov.cn/ZWGK1142/zcwj/sjwj/202605/t20260506_7293990.html</w:t>
      </w:r>
    </w:p>
    <w:p>
      <w:pPr>
        <w:ind w:left="240"/>
      </w:pPr>
      <w:r>
        <w:t>完善算力基础设施，支持工业互联网、人工智能等创新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《关于加快招标投标领域人工智能推广应用的实施意见》</w:t>
      </w:r>
    </w:p>
    <w:p>
      <w:r>
        <w:rPr>
          <w:color w:val="646464"/>
          <w:sz w:val="20"/>
        </w:rPr>
        <w:t>文　　号：发改法规〔2026〕</w:t>
        <w:br/>
        <w:t>发文机关：国家发展改革委</w:t>
        <w:br/>
        <w:t>发文日期：2026-03-11</w:t>
      </w:r>
    </w:p>
    <w:p>
      <w:pPr>
        <w:ind w:left="240"/>
      </w:pPr>
      <w:r>
        <w:t>推动AI在招标投标领域应用，协调数据和算力需求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《《促进和规范数据跨境流动规定》实施两周年数据出境安全管理工作再上新台阶》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发文日期：2026-03-23</w:t>
        <w:br/>
        <w:t>原文链接：https://www.cac.gov.cn/wxzw/sjzl/A093708index_1.htm</w:t>
      </w:r>
    </w:p>
    <w:p>
      <w:pPr>
        <w:ind w:left="240"/>
      </w:pPr>
      <w:r>
        <w:t>总结数据出境安全管理成效，持续优化政策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中国加速智能体规范应用，强调安全与发展并重，推动AI终端标准化</w:t>
      </w:r>
    </w:p>
    <w:p>
      <w:r>
        <w:rPr>
          <w:b/>
          <w:color w:val="5B6DE4"/>
        </w:rPr>
        <w:t xml:space="preserve">②  </w:t>
      </w:r>
      <w:r>
        <w:t>数据要素市场化改革深化，全国统一数据产权登记制度加快建立</w:t>
      </w:r>
    </w:p>
    <w:p>
      <w:r>
        <w:rPr>
          <w:b/>
          <w:color w:val="5B6DE4"/>
        </w:rPr>
        <w:t xml:space="preserve">③  </w:t>
      </w:r>
      <w:r>
        <w:t>数据出境管理持续优化，自贸区负面清单模式推广至多地</w:t>
      </w:r>
    </w:p>
    <w:p>
      <w:r>
        <w:rPr>
          <w:b/>
          <w:color w:val="5B6DE4"/>
        </w:rPr>
        <w:t xml:space="preserve">④  </w:t>
      </w:r>
      <w:r>
        <w:t>算力基础设施立法加强，天津等地明确支持通用、智能算力协同发展</w:t>
      </w:r>
    </w:p>
    <w:p>
      <w:r>
        <w:rPr>
          <w:b/>
          <w:color w:val="5B6DE4"/>
        </w:rPr>
        <w:t xml:space="preserve">⑤  </w:t>
      </w:r>
      <w:r>
        <w:t>国际方面，欧盟AI法案持续影响全球监管，中国政策注重自主可控</w:t>
      </w:r>
    </w:p>
    <w:p>
      <w:r>
        <w:rPr>
          <w:b/>
          <w:color w:val="5B6DE4"/>
        </w:rPr>
        <w:t xml:space="preserve">⑥  </w:t>
      </w:r>
      <w:r>
        <w:t>数字经济发展工作要点聚焦8大任务，筑牢数字基础设施底座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