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公布2026年5至6月生成式AI服务备案信息，强化合规监管透明度。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发布首批网络安全标识产品目录及实施规则，健全网安标识制度。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建立网络数据安全风险评估机制，明确评估对象、流程与要求。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规范汽车数据出境活动，明确安全评估与合规要求，保障数据安全。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公布2026年5至6月生成式AI服务备案信息，强化合规监管透明度。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发布首批网络安全标识产品目录及实施规则，健全网安标识制度。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建立网络数据安全风险评估机制，明确评估对象、流程与要求。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《关于提升境外人员入境数字化服务便利性的实施意见》</w:t>
      </w:r>
    </w:p>
    <w:p>
      <w:r>
        <w:rPr>
          <w:color w:val="646464"/>
          <w:sz w:val="20"/>
        </w:rPr>
        <w:t>文　　号：暂无</w:t>
        <w:br/>
        <w:t>发文机关：国家网信办等11部门</w:t>
        <w:br/>
        <w:t>发文日期：2026-02-05</w:t>
        <w:br/>
        <w:t>原文链接：https://www.deheheng.com/zhCN/dynamic/news/2065317352349757451</w:t>
      </w:r>
    </w:p>
    <w:p>
      <w:pPr>
        <w:ind w:left="240"/>
      </w:pPr>
      <w:r>
        <w:t>提升境外人员入境数字化服务便利性，优化跨境数字服务体验。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规范汽车数据出境活动，明确安全评估与合规要求，保障数据安全。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于8月21日发布《促进网信企业高质量发展行动计划（2026-2030年）》，将网信企业高质量发展上升为未来五年的系统性政策工程。逻辑：该计划旨在通过顶层设计引导资源向核心技术、数据治理、网络安全等关键领域集中，改变过去网信企业‘重模式创新、轻技术攻坚’的路径依赖，以政策确定性对冲市场不确定性。研判：后续将配套出台细分领域实施方案与专项扶持资金，网信企业并购整合与合规投入将显著增加，行业集中度有望提升。</w:t>
      </w:r>
    </w:p>
    <w:p>
      <w:r>
        <w:rPr>
          <w:b/>
          <w:color w:val="5B6DE4"/>
        </w:rPr>
        <w:t xml:space="preserve">②  </w:t>
      </w:r>
      <w:r>
        <w:t>现象：网信办持续以月度或双月频率公告生成式人工智能服务备案信息，2026年5-6月批次已于7月15日发布。逻辑：备案制已从‘准入管理’转向‘动态跟踪’，监管重点正从‘有没有备案’转向‘备案后运行是否合规’，体现对生成式AI全生命周期治理的强化。研判：备案信息将成为公众选择AI服务的重要参考，未备案或备案信息异常的服务将加速出清，行业合规门槛实质性抬高。</w:t>
      </w:r>
    </w:p>
    <w:p>
      <w:r>
        <w:rPr>
          <w:b/>
          <w:color w:val="5B6DE4"/>
        </w:rPr>
        <w:t xml:space="preserve">③  </w:t>
      </w:r>
      <w:r>
        <w:t>现象：工信部等八部门于2月印发《汽车数据出境安全指引（2026版）》，针对智能网联汽车数据出境设定专门规则。逻辑：汽车数据兼具个人信息、重要数据与测绘数据多重属性，跨境流动风险高，需在促进产业国际化与保障国家安全间取得精细平衡。研判：汽车行业数据出境将进入‘一车一策’或‘一企一策’的精细化监管阶段，相关合规咨询与数据安全技术服务市场将快速扩容。</w:t>
      </w:r>
    </w:p>
    <w:p>
      <w:r>
        <w:rPr>
          <w:b/>
          <w:color w:val="5B6DE4"/>
        </w:rPr>
        <w:t xml:space="preserve">④  </w:t>
      </w:r>
      <w:r>
        <w:t>现象：国家网信办等11部门于2月联合印发《关于提升境外人员入境数字化服务便利性的实施意见》，聚焦入境数字化服务体验优化。逻辑：此举服务于高水平对外开放与入境消费复苏，通过打通境外人员在国内使用移动支付、网络接入、App服务的制度堵点，提升国家数字化形象。研判：后续将在重点口岸城市开展试点，推动国际数据漫游、跨境身份认证等基础设施互联互通，相关数字服务企业将获得新市场空间。</w:t>
      </w:r>
    </w:p>
    <w:p>
      <w:r>
        <w:rPr>
          <w:b/>
          <w:color w:val="5B6DE4"/>
        </w:rPr>
        <w:t xml:space="preserve">⑤  </w:t>
      </w:r>
      <w:r>
        <w:t>现象：网信办于7月发布《实施网络安全标识的产品目录（第一批）》及实施规则，网络安全标识制度进入实质落地阶段。逻辑：标识制度旨在解决网络安全产品市场信息不对称问题，通过统一标识降低用户选择成本，同时倒逼厂商提升产品质量与安全性。研判：标识将成为政企采购的硬性门槛，未获标识产品市场份额将萎缩，推动网络安全产业从‘低价竞争’转向‘质量竞争’。</w:t>
      </w:r>
    </w:p>
    <w:p>
      <w:r>
        <w:rPr>
          <w:b/>
          <w:color w:val="5B6DE4"/>
        </w:rPr>
        <w:t xml:space="preserve">⑥  </w:t>
      </w:r>
      <w:r>
        <w:t>现象：中国以网信办为核心持续推进AI备案、数据出境评估、网络安全标识等制度，形成‘事前备案+事中评估+事后标识’的全链条监管框架。而欧盟侧重基于风险的横向立法（AI Act与GDPR），美国则偏向行业自律与行政命令引导。逻辑：中国模式强调政府主导的确定性合规路径，欧模式重权利保护的过程合规，美模式重创新激励的底线监管。研判：中国监管框架的密集出台正在形成制度性竞争优势，但需警惕合规成本过高对中小企业创新的挤压，未来或出现分层分级豁免机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