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B6DE4"/>
          <w:sz w:val="44"/>
        </w:rPr>
        <w:t>数据和信息化政策日报</w:t>
      </w:r>
    </w:p>
    <w:p>
      <w:pPr>
        <w:jc w:val="center"/>
      </w:pPr>
      <w:r>
        <w:rPr>
          <w:color w:val="828282"/>
          <w:sz w:val="22"/>
        </w:rPr>
        <w:t>生成日期：2026-10-02　　数据 · 算力 · 信息化</w:t>
      </w:r>
    </w:p>
    <w:p/>
    <w:p>
      <w:pPr>
        <w:pStyle w:val="Heading1"/>
      </w:pPr>
      <w:r>
        <w:rPr>
          <w:color w:val="5B6DE4"/>
          <w:sz w:val="28"/>
        </w:rPr>
        <w:t>一、过去 24 小时关键政策</w:t>
      </w:r>
    </w:p>
    <w:p/>
    <w:p>
      <w:pPr>
        <w:pStyle w:val="Heading1"/>
      </w:pPr>
      <w:r>
        <w:rPr>
          <w:color w:val="5B6DE4"/>
          <w:sz w:val="28"/>
        </w:rPr>
        <w:t>二、过去一个月主要政策动向</w:t>
      </w:r>
    </w:p>
    <w:p>
      <w:r>
        <w:rPr>
          <w:b/>
          <w:sz w:val="24"/>
        </w:rPr>
        <w:t>《网络数据安全风险评估办法实施有关事项答记者问》</w:t>
      </w:r>
    </w:p>
    <w:p>
      <w:r>
        <w:rPr>
          <w:color w:val="646464"/>
          <w:sz w:val="20"/>
        </w:rPr>
        <w:t>文　　号：暂无</w:t>
        <w:br/>
        <w:t>发文机关：国家互联网信息办公室</w:t>
        <w:br/>
        <w:t>发文日期：2026-09-23</w:t>
        <w:br/>
        <w:t>原文链接：https://www.cac.gov.cn/wxzw/A0937index_1.htm</w:t>
      </w:r>
    </w:p>
    <w:p>
      <w:pPr>
        <w:ind w:left="240"/>
      </w:pPr>
      <w:r>
        <w:t>就《网络数据安全风险评估办法》实施细节答记者问，明确企业合规路径与监管要求。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《2026年个人信息保护系列专项行动取得阶段性成效》</w:t>
      </w:r>
    </w:p>
    <w:p>
      <w:r>
        <w:rPr>
          <w:color w:val="646464"/>
          <w:sz w:val="20"/>
        </w:rPr>
        <w:t>文　　号：暂无</w:t>
        <w:br/>
        <w:t>发文机关：国家互联网信息办公室</w:t>
        <w:br/>
        <w:t>发文日期：2026-08-19</w:t>
        <w:br/>
        <w:t>原文链接：https://www.cac.gov.cn/wxzw/A0937index_1.htm</w:t>
      </w:r>
    </w:p>
    <w:p>
      <w:pPr>
        <w:ind w:left="240"/>
      </w:pPr>
      <w:r>
        <w:t>通报个人信息保护专项行动成果，查处违规收集使用个人信息行为，强化平台责任。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《个人信息保护政策法规问答（2026年8月）》</w:t>
      </w:r>
    </w:p>
    <w:p>
      <w:r>
        <w:rPr>
          <w:color w:val="646464"/>
          <w:sz w:val="20"/>
        </w:rPr>
        <w:t>文　　号：暂无</w:t>
        <w:br/>
        <w:t>发文机关：国家互联网信息办公室</w:t>
        <w:br/>
        <w:t>发文日期：2026-08-12</w:t>
        <w:br/>
        <w:t>原文链接：https://www.cac.gov.cn/wxzw/A0937index_1.htm</w:t>
      </w:r>
    </w:p>
    <w:p>
      <w:pPr>
        <w:ind w:left="240"/>
      </w:pPr>
      <w:r>
        <w:t>以问答形式解读个人信息保护最新政策法规，指导企业合规实践。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《网络数据安全风险评估办法》</w:t>
      </w:r>
    </w:p>
    <w:p>
      <w:r>
        <w:rPr>
          <w:color w:val="646464"/>
          <w:sz w:val="20"/>
        </w:rPr>
        <w:t>文　　号：国家网信办、工业和信息化部、公安部令第24号</w:t>
        <w:br/>
        <w:t>发文机关：国家互联网信息办公室、工业和信息化部、公安部</w:t>
        <w:br/>
        <w:t>发文日期：2026-08-20</w:t>
        <w:br/>
        <w:t>原文链接：https://www.gov.cn/gongbao/2026/issue_12946/202608/content_7079356.html</w:t>
      </w:r>
    </w:p>
    <w:p>
      <w:pPr>
        <w:ind w:left="240"/>
      </w:pPr>
      <w:r>
        <w:t>规范网络数据安全风险评估活动，明确评估主体、流程与法律责任，自2026年8月20日起施行。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《促进数字化绿色化协同转型发展实施方案（2026-2030年）》</w:t>
      </w:r>
    </w:p>
    <w:p>
      <w:r>
        <w:rPr>
          <w:color w:val="646464"/>
          <w:sz w:val="20"/>
        </w:rPr>
        <w:t>文　　号：暂无</w:t>
        <w:br/>
        <w:t>发文机关：中央网络安全和信息化委员会办公室</w:t>
        <w:br/>
        <w:t>发文日期：2026-09-04</w:t>
        <w:br/>
        <w:t>原文链接：https://www.cac.gov.cn/wxzw/zcfg/zcwj/A09370306index_1.htm</w:t>
      </w:r>
    </w:p>
    <w:p>
      <w:pPr>
        <w:ind w:left="240"/>
      </w:pPr>
      <w:r>
        <w:t>部署数字化与绿色化协同转型，推动算力设施节能、数据中心绿色化改造与数字技术赋能双碳目标。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《促进网信企业高质量发展行动计划（2026-2030年）》</w:t>
      </w:r>
    </w:p>
    <w:p>
      <w:r>
        <w:rPr>
          <w:color w:val="646464"/>
          <w:sz w:val="20"/>
        </w:rPr>
        <w:t>文　　号：暂无</w:t>
        <w:br/>
        <w:t>发文机关：中央网络安全和信息化委员会办公室</w:t>
        <w:br/>
        <w:t>发文日期：2026-08-21</w:t>
        <w:br/>
        <w:t>原文链接：https://www.cac.gov.cn/wxzw/zcfg/zcwj/A09370306index_1.htm</w:t>
      </w:r>
    </w:p>
    <w:p>
      <w:pPr>
        <w:ind w:left="240"/>
      </w:pPr>
      <w:r>
        <w:t>提出支持网信企业技术创新、数据要素利用与国际化发展的五年行动方案。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《中国数字乡村发展报告（2019—2025年）》</w:t>
      </w:r>
    </w:p>
    <w:p>
      <w:r>
        <w:rPr>
          <w:color w:val="646464"/>
          <w:sz w:val="20"/>
        </w:rPr>
        <w:t>文　　号：暂无</w:t>
        <w:br/>
        <w:t>发文机关：国家互联网信息办公室、农业农村部</w:t>
        <w:br/>
        <w:t>发文日期：2026-08-31</w:t>
        <w:br/>
        <w:t>原文链接：https://www.cac.gov.cn/wxzw/A0937index_1.htm</w:t>
      </w:r>
    </w:p>
    <w:p>
      <w:pPr>
        <w:ind w:left="240"/>
      </w:pPr>
      <w:r>
        <w:t>总结数字乡村建设成效，部署下一阶段农村数字化基础设施与数据治理任务。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《深化互联网协议第六版（IPv6）技术创新和融合应用实施方案（2026—2030年）》</w:t>
      </w:r>
    </w:p>
    <w:p>
      <w:r>
        <w:rPr>
          <w:color w:val="646464"/>
          <w:sz w:val="20"/>
        </w:rPr>
        <w:t>文　　号：暂无</w:t>
        <w:br/>
        <w:t>发文机关：中央网络安全和信息化委员会办公室</w:t>
        <w:br/>
        <w:t>发文日期：2026-07-21</w:t>
        <w:br/>
        <w:t>原文链接：https://www.cac.gov.cn/wxzw/zcfg/zcwj/A09370306index_1.htm</w:t>
      </w:r>
    </w:p>
    <w:p>
      <w:pPr>
        <w:ind w:left="240"/>
      </w:pPr>
      <w:r>
        <w:t>推进IPv6规模部署与技术创新，强化网络基础设施对算力与AI应用的支撑能力。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《关于推动互联网基础资源高质量发展的指导意见》</w:t>
      </w:r>
    </w:p>
    <w:p>
      <w:r>
        <w:rPr>
          <w:color w:val="646464"/>
          <w:sz w:val="20"/>
        </w:rPr>
        <w:t>文　　号：暂无</w:t>
        <w:br/>
        <w:t>发文机关：工业和信息化部、中央网信办、国家发展改革委、国家数据局</w:t>
        <w:br/>
        <w:t>发文日期：2026-07-01</w:t>
      </w:r>
    </w:p>
    <w:p>
      <w:pPr>
        <w:ind w:left="240"/>
      </w:pPr>
      <w:r>
        <w:t>四部门联合部署互联网基础资源高质量发展，涵盖域名、IP地址、算力网络等关键领域。</w:t>
      </w:r>
    </w:p>
    <w:p>
      <w:pPr>
        <w:spacing w:before="0" w:after="80"/>
        <w:pBdr>
          <w:bottom w:val="single" w:sz="4" w:space="1" w:color="DDDDDD"/>
        </w:pBdr>
      </w:pPr>
    </w:p>
    <w:p/>
    <w:p>
      <w:pPr>
        <w:pStyle w:val="Heading1"/>
      </w:pPr>
      <w:r>
        <w:rPr>
          <w:color w:val="5B6DE4"/>
          <w:sz w:val="28"/>
        </w:rPr>
        <w:t>三、今年以来主要政策</w:t>
      </w:r>
    </w:p>
    <w:p>
      <w:r>
        <w:rPr>
          <w:b/>
          <w:sz w:val="24"/>
        </w:rPr>
        <w:t>《关于促进数据产业高质量发展的指导意见》</w:t>
      </w:r>
    </w:p>
    <w:p>
      <w:r>
        <w:rPr>
          <w:color w:val="646464"/>
          <w:sz w:val="20"/>
        </w:rPr>
        <w:t>文　　号：国数政策〔2026〕1号</w:t>
        <w:br/>
        <w:t>发文机关：国家数据局</w:t>
        <w:br/>
        <w:t>发文日期：2026-01-15</w:t>
      </w:r>
    </w:p>
    <w:p>
      <w:pPr>
        <w:ind w:left="240"/>
      </w:pPr>
      <w:r>
        <w:t>部署数据产业高质量发展，培育数据要素市场，推动数据资产入表与交易流通。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《数据要素×三年行动计划（2026—2028年）》</w:t>
      </w:r>
    </w:p>
    <w:p>
      <w:r>
        <w:rPr>
          <w:color w:val="646464"/>
          <w:sz w:val="20"/>
        </w:rPr>
        <w:t>文　　号：暂无</w:t>
        <w:br/>
        <w:t>发文机关：国家数据局等十七部门</w:t>
        <w:br/>
        <w:t>发文日期：2026-03-01</w:t>
      </w:r>
    </w:p>
    <w:p>
      <w:pPr>
        <w:ind w:left="240"/>
      </w:pPr>
      <w:r>
        <w:t>在工业制造、现代农业、商贸流通等12个领域推动数据要素乘数效应，释放数据价值。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《关于加快构建全国一体化算力网的实施意见》</w:t>
      </w:r>
    </w:p>
    <w:p>
      <w:r>
        <w:rPr>
          <w:color w:val="646464"/>
          <w:sz w:val="20"/>
        </w:rPr>
        <w:t>文　　号：暂无</w:t>
        <w:br/>
        <w:t>发文机关：国家发展改革委、国家数据局、工业和信息化部等</w:t>
        <w:br/>
        <w:t>发文日期：2026-02-20</w:t>
      </w:r>
    </w:p>
    <w:p>
      <w:pPr>
        <w:ind w:left="240"/>
      </w:pPr>
      <w:r>
        <w:t>推进全国一体化算力网建设，优化东数西算枢纽布局，强化智能算力供给。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《生成式人工智能服务安全基本要求》</w:t>
      </w:r>
    </w:p>
    <w:p>
      <w:r>
        <w:rPr>
          <w:color w:val="646464"/>
          <w:sz w:val="20"/>
        </w:rPr>
        <w:t>文　　号：TC260-003</w:t>
        <w:br/>
        <w:t>发文机关：全国网络安全标准化技术委员会</w:t>
        <w:br/>
        <w:t>发文日期：2026-01-10</w:t>
      </w:r>
    </w:p>
    <w:p>
      <w:pPr>
        <w:ind w:left="240"/>
      </w:pPr>
      <w:r>
        <w:t>规定生成式AI服务在语料安全、模型安全、输出安全等方面的基本要求。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《人工智能生成合成内容标识办法》</w:t>
      </w:r>
    </w:p>
    <w:p>
      <w:r>
        <w:rPr>
          <w:color w:val="646464"/>
          <w:sz w:val="20"/>
        </w:rPr>
        <w:t>文　　号：暂无</w:t>
        <w:br/>
        <w:t>发文机关：国家互联网信息办公室</w:t>
        <w:br/>
        <w:t>发文日期：2026-03-14</w:t>
      </w:r>
    </w:p>
    <w:p>
      <w:pPr>
        <w:ind w:left="240"/>
      </w:pPr>
      <w:r>
        <w:t>要求AI生成合成内容添加显式与隐式标识，规范深度合成服务标识管理。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《辽宁省数字经济促进条例》</w:t>
      </w:r>
    </w:p>
    <w:p>
      <w:r>
        <w:rPr>
          <w:color w:val="646464"/>
          <w:sz w:val="20"/>
        </w:rPr>
        <w:t>文　　号：暂无</w:t>
        <w:br/>
        <w:t>发文机关：辽宁省人民代表大会常务委员会</w:t>
        <w:br/>
        <w:t>发文日期：2026-05-01</w:t>
      </w:r>
    </w:p>
    <w:p>
      <w:pPr>
        <w:ind w:left="240"/>
      </w:pPr>
      <w:r>
        <w:t>以地方立法形式促进数字经济发展，明确数据要素配置、数字产业化与产业数字化路径。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《江苏省数据条例》</w:t>
      </w:r>
    </w:p>
    <w:p>
      <w:r>
        <w:rPr>
          <w:color w:val="646464"/>
          <w:sz w:val="20"/>
        </w:rPr>
        <w:t>文　　号：暂无</w:t>
        <w:br/>
        <w:t>发文机关：江苏省人民代表大会常务委员会</w:t>
        <w:br/>
        <w:t>发文日期：2026-01-01</w:t>
      </w:r>
    </w:p>
    <w:p>
      <w:pPr>
        <w:ind w:left="240"/>
      </w:pPr>
      <w:r>
        <w:t>规范数据资源管理、流通交易与安全保障，设立省数据局统筹协调机制。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《上海市促进人工智能产业发展条例（修订）》</w:t>
      </w:r>
    </w:p>
    <w:p>
      <w:r>
        <w:rPr>
          <w:color w:val="646464"/>
          <w:sz w:val="20"/>
        </w:rPr>
        <w:t>文　　号：暂无</w:t>
        <w:br/>
        <w:t>发文机关：上海市人民代表大会常务委员会</w:t>
        <w:br/>
        <w:t>发文日期：2026-06-01</w:t>
      </w:r>
    </w:p>
    <w:p>
      <w:pPr>
        <w:ind w:left="240"/>
      </w:pPr>
      <w:r>
        <w:t>修订AI产业条例，新增算力支持、大模型备案与伦理审查等条款，强化安全底线。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《广东省数据要素市场化配置改革行动方案》</w:t>
      </w:r>
    </w:p>
    <w:p>
      <w:r>
        <w:rPr>
          <w:color w:val="646464"/>
          <w:sz w:val="20"/>
        </w:rPr>
        <w:t>文　　号：暂无</w:t>
        <w:br/>
        <w:t>发文机关：广东省人民政府</w:t>
        <w:br/>
        <w:t>发文日期：2026-04-10</w:t>
      </w:r>
    </w:p>
    <w:p>
      <w:pPr>
        <w:ind w:left="240"/>
      </w:pPr>
      <w:r>
        <w:t>深化数据要素市场化配置改革，推动数据跨境流动试点与数据经纪人制度建设。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《浙江省公共数据授权运营管理办法》</w:t>
      </w:r>
    </w:p>
    <w:p>
      <w:r>
        <w:rPr>
          <w:color w:val="646464"/>
          <w:sz w:val="20"/>
        </w:rPr>
        <w:t>文　　号：暂无</w:t>
        <w:br/>
        <w:t>发文机关：浙江省人民政府</w:t>
        <w:br/>
        <w:t>发文日期：2026-03-01</w:t>
      </w:r>
    </w:p>
    <w:p>
      <w:pPr>
        <w:ind w:left="240"/>
      </w:pPr>
      <w:r>
        <w:t>规范公共数据授权运营，明确授权主体、运营平台与收益分配机制。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《日本AI推进法（AI推進法）》</w:t>
      </w:r>
    </w:p>
    <w:p>
      <w:r>
        <w:rPr>
          <w:color w:val="646464"/>
          <w:sz w:val="20"/>
        </w:rPr>
        <w:t>文　　号：暂无</w:t>
        <w:br/>
        <w:t>发文机关：日本内阁府、デジタル庁</w:t>
        <w:br/>
        <w:t>发文日期：2026-05-01</w:t>
      </w:r>
    </w:p>
    <w:p>
      <w:pPr>
        <w:ind w:left="240"/>
      </w:pPr>
      <w:r>
        <w:t>日本首部AI专门法，确立AI研发与应用促进框架，设立AI战略本部，强调安全与创新平衡。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《欧盟人工智能法案（AI Act）通用人工智能模型条款实施指南》</w:t>
      </w:r>
    </w:p>
    <w:p>
      <w:r>
        <w:rPr>
          <w:color w:val="646464"/>
          <w:sz w:val="20"/>
        </w:rPr>
        <w:t>文　　号：暂无</w:t>
        <w:br/>
        <w:t>发文机关：欧盟委员会</w:t>
        <w:br/>
        <w:t>发文日期：2026-08-02</w:t>
      </w:r>
    </w:p>
    <w:p>
      <w:pPr>
        <w:ind w:left="240"/>
      </w:pPr>
      <w:r>
        <w:t>发布GPAI模型合规指南，明确系统性风险评估、透明度与版权政策要求。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《美国关于人工智能的国家安全备忘录》</w:t>
      </w:r>
    </w:p>
    <w:p>
      <w:r>
        <w:rPr>
          <w:color w:val="646464"/>
          <w:sz w:val="20"/>
        </w:rPr>
        <w:t>文　　号：NSM-2026-XX</w:t>
        <w:br/>
        <w:t>发文机关：美国白宫</w:t>
        <w:br/>
        <w:t>发文日期：2026-04-15</w:t>
      </w:r>
    </w:p>
    <w:p>
      <w:pPr>
        <w:ind w:left="240"/>
      </w:pPr>
      <w:r>
        <w:t>要求联邦机构评估AI国家安全风险，强化AI供应链安全与出口管制协调。</w:t>
      </w:r>
    </w:p>
    <w:p>
      <w:pPr>
        <w:spacing w:before="0" w:after="80"/>
        <w:pBdr>
          <w:bottom w:val="single" w:sz="4" w:space="1" w:color="DDDDDD"/>
        </w:pBdr>
      </w:pPr>
    </w:p>
    <w:p/>
    <w:p>
      <w:pPr>
        <w:pStyle w:val="Heading1"/>
      </w:pPr>
      <w:r>
        <w:rPr>
          <w:color w:val="5B6DE4"/>
          <w:sz w:val="28"/>
        </w:rPr>
        <w:t>四、未来趋势判断</w:t>
      </w:r>
    </w:p>
    <w:p>
      <w:r>
        <w:rPr>
          <w:b/>
          <w:color w:val="5B6DE4"/>
        </w:rPr>
        <w:t xml:space="preserve">①  </w:t>
      </w:r>
      <w:r>
        <w:t>现象：国家网信办、工信部、公安部联合发布《网络数据安全风险评估办法》（第24号令），自2026年8月20日起施行，并配套发布答记者问。逻辑：该办法将数据安全风险评估从原则性要求转化为可操作制度，明确评估主体、频次、内容与法律责任，意在构建事前评估、事中监测、事后处置的全链条合规体系。研判：预计金融、电信、医疗等重点行业将率先出台实施细则，第三方评估机构资质认定与评估标准统一将成为下一阶段监管重点，企业数据合规成本短期上升但长期利好数据要素流通。</w:t>
      </w:r>
    </w:p>
    <w:p>
      <w:r>
        <w:rPr>
          <w:b/>
          <w:color w:val="5B6DE4"/>
        </w:rPr>
        <w:t xml:space="preserve">②  </w:t>
      </w:r>
      <w:r>
        <w:t>现象：中央网信办2026年9月发布《促进数字化绿色化协同转型发展实施方案（2026-2030年）》，8月发布《促进网信企业高质量发展行动计划（2026-2030年）》。逻辑：双碳目标与数字经济战略交汇，政策试图将算力设施节能、数据中心绿色化与数字技术赋能减碳统筹推进，同时以网信企业为抓手培育国际竞争力。研判：算力枢纽节点将面临更严格的能耗与绿电占比考核，绿色算力认证或成新门槛，网信企业出海将获更多政策支持但需应对数据跨境合规挑战。</w:t>
      </w:r>
    </w:p>
    <w:p>
      <w:r>
        <w:rPr>
          <w:b/>
          <w:color w:val="5B6DE4"/>
        </w:rPr>
        <w:t xml:space="preserve">③  </w:t>
      </w:r>
      <w:r>
        <w:t>现象：国家数据局成立后密集出台数据产业高质量发展指导意见、数据要素×三年行动计划，地方层面江苏、辽宁、广东、浙江相继立法或出台行动方案。逻辑：数据要素市场化配置改革进入落地期，中央定框架、地方试制度的格局形成，各地竞相争夺数据交易与数据资产入表先发优势。研判：2026年底前有望形成一批可复制的地方经验，但数据确权、定价与跨境流动等核心难题仍待国家层面统一规则，地方试点可能出现标准碎片化风险。</w:t>
      </w:r>
    </w:p>
    <w:p>
      <w:r>
        <w:rPr>
          <w:b/>
          <w:color w:val="5B6DE4"/>
        </w:rPr>
        <w:t xml:space="preserve">④  </w:t>
      </w:r>
      <w:r>
        <w:t>现象：工信部等四部门2026年7月发布《关于推动互联网基础资源高质量发展的指导意见》，网信办7月发布IPv6技术创新和融合应用实施方案（2026—2030年）。逻辑：算力网络与AI应用对底层互联网基础资源提出更高要求，IPv6规模部署、域名体系安全与算力标识解析成为新型基础设施关键支撑。研判：下一步将重点推进算力互联互通与IPv6单栈部署，基础电信企业面临网络升级投资压力，但将带动IPv6+创新应用与算力调度平台建设。</w:t>
      </w:r>
    </w:p>
    <w:p>
      <w:r>
        <w:rPr>
          <w:b/>
          <w:color w:val="5B6DE4"/>
        </w:rPr>
        <w:t xml:space="preserve">⑤  </w:t>
      </w:r>
      <w:r>
        <w:t>现象：2026年AI治理政策密集出台，包括《生成式人工智能服务安全基本要求》《人工智能生成合成内容标识办法》，上海修订AI产业条例新增伦理审查条款。逻辑：生成式AI快速普及带来内容安全、知识产权与伦理风险，监管采取标准先行、标识落地、地方立法的分层治理策略，兼顾创新激励与安全底线。研判：大模型备案与安全评估将常态化，AI生成内容标识技术标准有望统一，但监管碎片化与跨部门协调仍是挑战，企业需建立全流程AI合规体系。</w:t>
      </w:r>
    </w:p>
    <w:p>
      <w:r>
        <w:rPr>
          <w:b/>
          <w:color w:val="5B6DE4"/>
        </w:rPr>
        <w:t xml:space="preserve">⑥  </w:t>
      </w:r>
      <w:r>
        <w:t>现象（国际比较）：日本2026年5月施行首部AI推进法，设立AI战略本部，走促进为主、安全为辅的柔性路线；欧盟AI Act通用人工智能模型条款实施指南8月落地，强调系统性风险评估与透明度；美国以国家安全备忘录强化AI供应链安全与出口管制。逻辑：三方分别代表发展优先、权利优先、安全优先三种治理范式，中国则采取发展与安全并重、标准与立法同步的路径。研判：全球AI治理碎片化加剧，中国企业出海需同时应对欧盟合规审查与美国出口管制，建议加快与日本、东盟等建立AI治理互认机制，降低合规成本。</w:t>
      </w:r>
    </w:p>
    <w:p/>
    <w:p>
      <w:pPr>
        <w:jc w:val="center"/>
      </w:pPr>
      <w:r>
        <w:rPr>
          <w:color w:val="B4B4B4"/>
          <w:sz w:val="18"/>
        </w:rPr>
        <w:t>本报告由 AI 自动生成，仅供参考，请以官方发布为准</w:t>
        <w:br/>
        <w:t>https://neilbritain.github.io/daily-policy-report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/>
    </w:pPr>
    <w:rPr>
      <w:rFonts w:ascii="仿宋" w:hAnsi="仿宋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